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45630" w14:textId="0D0DF010" w:rsidR="003610EA" w:rsidRPr="000F4F59" w:rsidRDefault="00A32704" w:rsidP="009506DE">
      <w:pPr>
        <w:tabs>
          <w:tab w:val="left" w:pos="9576"/>
        </w:tabs>
        <w:spacing w:line="480" w:lineRule="auto"/>
        <w:jc w:val="center"/>
        <w:rPr>
          <w:rFonts w:cs="Times New Roman"/>
          <w:sz w:val="28"/>
        </w:rPr>
      </w:pPr>
      <w:bookmarkStart w:id="0" w:name="_GoBack"/>
      <w:bookmarkEnd w:id="0"/>
      <w:r w:rsidRPr="000F4F59">
        <w:rPr>
          <w:rFonts w:cs="Times New Roman"/>
          <w:sz w:val="28"/>
        </w:rPr>
        <w:t xml:space="preserve">Measuring Outcomes for CAH </w:t>
      </w:r>
      <w:r w:rsidR="00436120">
        <w:rPr>
          <w:rFonts w:cs="Times New Roman"/>
          <w:sz w:val="28"/>
        </w:rPr>
        <w:t xml:space="preserve">Swing </w:t>
      </w:r>
      <w:r w:rsidR="00383607">
        <w:rPr>
          <w:rFonts w:cs="Times New Roman"/>
          <w:sz w:val="28"/>
        </w:rPr>
        <w:t>B</w:t>
      </w:r>
      <w:r w:rsidR="00436120">
        <w:rPr>
          <w:rFonts w:cs="Times New Roman"/>
          <w:sz w:val="28"/>
        </w:rPr>
        <w:t>ed</w:t>
      </w:r>
      <w:r w:rsidRPr="000F4F59">
        <w:rPr>
          <w:rFonts w:cs="Times New Roman"/>
          <w:sz w:val="28"/>
        </w:rPr>
        <w:t xml:space="preserve"> Patients</w:t>
      </w:r>
      <w:r w:rsidR="00926950">
        <w:rPr>
          <w:rFonts w:cs="Times New Roman"/>
          <w:sz w:val="28"/>
        </w:rPr>
        <w:t>: Results of a Field Test and Comparison with SNF Patient Outcomes</w:t>
      </w:r>
    </w:p>
    <w:p w14:paraId="3653C4A5" w14:textId="6030CA78" w:rsidR="005055D6" w:rsidRPr="000F4F59" w:rsidRDefault="005055D6" w:rsidP="004D1C93">
      <w:pPr>
        <w:spacing w:line="480" w:lineRule="auto"/>
        <w:jc w:val="center"/>
        <w:rPr>
          <w:rFonts w:cs="Times New Roman"/>
          <w:sz w:val="28"/>
        </w:rPr>
      </w:pPr>
      <w:r w:rsidRPr="000F4F59">
        <w:rPr>
          <w:rFonts w:cs="Times New Roman"/>
          <w:sz w:val="28"/>
        </w:rPr>
        <w:t>Ira Moscovice PhD,</w:t>
      </w:r>
      <w:r w:rsidR="00A32704" w:rsidRPr="000F4F59">
        <w:rPr>
          <w:rFonts w:cs="Times New Roman"/>
          <w:sz w:val="28"/>
          <w:vertAlign w:val="superscript"/>
        </w:rPr>
        <w:t xml:space="preserve"> </w:t>
      </w:r>
      <w:r w:rsidR="00A32704" w:rsidRPr="000F4F59">
        <w:rPr>
          <w:rFonts w:cs="Times New Roman"/>
          <w:sz w:val="28"/>
        </w:rPr>
        <w:t>Tongt</w:t>
      </w:r>
      <w:r w:rsidR="006F7E66">
        <w:rPr>
          <w:rFonts w:cs="Times New Roman"/>
          <w:sz w:val="28"/>
        </w:rPr>
        <w:t>a</w:t>
      </w:r>
      <w:r w:rsidR="00A32704" w:rsidRPr="000F4F59">
        <w:rPr>
          <w:rFonts w:cs="Times New Roman"/>
          <w:sz w:val="28"/>
        </w:rPr>
        <w:t>n Chantarat</w:t>
      </w:r>
      <w:r w:rsidR="003610EA" w:rsidRPr="000F4F59">
        <w:rPr>
          <w:rFonts w:cs="Times New Roman"/>
          <w:sz w:val="28"/>
        </w:rPr>
        <w:t xml:space="preserve"> M</w:t>
      </w:r>
      <w:r w:rsidR="000F4F59" w:rsidRPr="000F4F59">
        <w:rPr>
          <w:rFonts w:cs="Times New Roman"/>
          <w:sz w:val="28"/>
        </w:rPr>
        <w:t>PH</w:t>
      </w:r>
      <w:r w:rsidR="00A32704" w:rsidRPr="000F4F59">
        <w:rPr>
          <w:rFonts w:cs="Times New Roman"/>
          <w:sz w:val="28"/>
        </w:rPr>
        <w:t>, Michelle Casey MS</w:t>
      </w:r>
    </w:p>
    <w:p w14:paraId="35E983B0" w14:textId="4D1927F1" w:rsidR="00A32704" w:rsidRPr="000F4F59" w:rsidRDefault="005055D6" w:rsidP="004D1C93">
      <w:pPr>
        <w:spacing w:line="480" w:lineRule="auto"/>
        <w:jc w:val="center"/>
        <w:rPr>
          <w:rFonts w:cs="Times New Roman"/>
          <w:sz w:val="28"/>
        </w:rPr>
      </w:pPr>
      <w:r w:rsidRPr="000F4F59">
        <w:rPr>
          <w:rFonts w:cs="Times New Roman"/>
          <w:sz w:val="28"/>
        </w:rPr>
        <w:t>University of Minnesot</w:t>
      </w:r>
      <w:r w:rsidR="00A32704" w:rsidRPr="000F4F59">
        <w:rPr>
          <w:rFonts w:cs="Times New Roman"/>
          <w:sz w:val="28"/>
        </w:rPr>
        <w:t>a Rural Health Research Center</w:t>
      </w:r>
    </w:p>
    <w:p w14:paraId="1E7FFCA9" w14:textId="5DB2863E" w:rsidR="00A32704" w:rsidRPr="000F4F59" w:rsidRDefault="005055D6" w:rsidP="004D1C93">
      <w:pPr>
        <w:spacing w:line="480" w:lineRule="auto"/>
        <w:jc w:val="center"/>
        <w:rPr>
          <w:rFonts w:cs="Times New Roman"/>
          <w:sz w:val="28"/>
        </w:rPr>
      </w:pPr>
      <w:r w:rsidRPr="000F4F59">
        <w:rPr>
          <w:rFonts w:cs="Times New Roman"/>
          <w:sz w:val="28"/>
        </w:rPr>
        <w:t xml:space="preserve">Division </w:t>
      </w:r>
      <w:r w:rsidR="00A32704" w:rsidRPr="000F4F59">
        <w:rPr>
          <w:rFonts w:cs="Times New Roman"/>
          <w:sz w:val="28"/>
        </w:rPr>
        <w:t>of Health Policy and Management</w:t>
      </w:r>
    </w:p>
    <w:p w14:paraId="46ABAB9B" w14:textId="7104A02D" w:rsidR="005055D6" w:rsidRPr="000F4F59" w:rsidRDefault="00A32704" w:rsidP="004D1C93">
      <w:pPr>
        <w:spacing w:line="480" w:lineRule="auto"/>
        <w:jc w:val="center"/>
        <w:rPr>
          <w:rFonts w:cs="Times New Roman"/>
          <w:sz w:val="28"/>
        </w:rPr>
      </w:pPr>
      <w:r w:rsidRPr="000F4F59">
        <w:rPr>
          <w:rFonts w:cs="Times New Roman"/>
          <w:sz w:val="28"/>
        </w:rPr>
        <w:t>University of Minnesota</w:t>
      </w:r>
    </w:p>
    <w:p w14:paraId="34BAA539" w14:textId="77777777" w:rsidR="00CA63F4" w:rsidRDefault="00CA63F4" w:rsidP="003916D5">
      <w:pPr>
        <w:autoSpaceDE w:val="0"/>
        <w:autoSpaceDN w:val="0"/>
        <w:adjustRightInd w:val="0"/>
        <w:spacing w:after="0" w:line="480" w:lineRule="auto"/>
        <w:rPr>
          <w:rFonts w:cs="Times New Roman"/>
        </w:rPr>
      </w:pPr>
    </w:p>
    <w:p w14:paraId="6B10598E" w14:textId="01DADD88" w:rsidR="005055D6" w:rsidRPr="008F100A" w:rsidRDefault="00CA63F4" w:rsidP="003916D5">
      <w:pPr>
        <w:autoSpaceDE w:val="0"/>
        <w:autoSpaceDN w:val="0"/>
        <w:adjustRightInd w:val="0"/>
        <w:spacing w:after="0" w:line="480" w:lineRule="auto"/>
        <w:rPr>
          <w:rFonts w:cs="Times New Roman"/>
        </w:rPr>
      </w:pPr>
      <w:r w:rsidRPr="00691311">
        <w:rPr>
          <w:rFonts w:cs="Times New Roman"/>
          <w:b/>
        </w:rPr>
        <w:t>Acknowledgements</w:t>
      </w:r>
      <w:r w:rsidR="00037358" w:rsidRPr="00691311">
        <w:rPr>
          <w:rFonts w:cs="Times New Roman"/>
          <w:b/>
        </w:rPr>
        <w:t>:</w:t>
      </w:r>
      <w:r w:rsidR="00037358" w:rsidRPr="00691311">
        <w:rPr>
          <w:rFonts w:cs="Times New Roman"/>
        </w:rPr>
        <w:t xml:space="preserve"> </w:t>
      </w:r>
      <w:r w:rsidR="001D7C81" w:rsidRPr="00691311">
        <w:rPr>
          <w:rFonts w:cs="Times New Roman"/>
        </w:rPr>
        <w:t xml:space="preserve">The authors would </w:t>
      </w:r>
      <w:r w:rsidR="001D7C81" w:rsidRPr="00594336">
        <w:rPr>
          <w:rFonts w:cs="Times New Roman"/>
        </w:rPr>
        <w:t>like t</w:t>
      </w:r>
      <w:r w:rsidR="001D7C81" w:rsidRPr="00D034A4">
        <w:rPr>
          <w:rFonts w:cs="Times New Roman"/>
        </w:rPr>
        <w:t xml:space="preserve">o </w:t>
      </w:r>
      <w:r w:rsidR="002F12EF" w:rsidRPr="00D034A4">
        <w:rPr>
          <w:rFonts w:cs="Times New Roman"/>
        </w:rPr>
        <w:t>ac</w:t>
      </w:r>
      <w:r w:rsidR="002F12EF" w:rsidRPr="008756D2">
        <w:rPr>
          <w:rFonts w:cs="Times New Roman"/>
        </w:rPr>
        <w:t xml:space="preserve">knowledge </w:t>
      </w:r>
      <w:r w:rsidR="001D7C81" w:rsidRPr="008756D2">
        <w:rPr>
          <w:rFonts w:cs="Times New Roman"/>
        </w:rPr>
        <w:t xml:space="preserve">the </w:t>
      </w:r>
      <w:r w:rsidR="001D7C81" w:rsidRPr="00A72492">
        <w:rPr>
          <w:rFonts w:cs="Times New Roman"/>
        </w:rPr>
        <w:t xml:space="preserve">rural hospital and quality experts who participated in interviews and </w:t>
      </w:r>
      <w:r w:rsidR="00037358" w:rsidRPr="00691311">
        <w:rPr>
          <w:rFonts w:cs="Times New Roman"/>
        </w:rPr>
        <w:t>on</w:t>
      </w:r>
      <w:r w:rsidR="00A32704">
        <w:rPr>
          <w:rFonts w:cs="Times New Roman"/>
        </w:rPr>
        <w:t>-</w:t>
      </w:r>
      <w:r w:rsidR="00037358" w:rsidRPr="00691311">
        <w:rPr>
          <w:rFonts w:cs="Times New Roman"/>
        </w:rPr>
        <w:t>line survey</w:t>
      </w:r>
      <w:r w:rsidR="001D7C81" w:rsidRPr="00691311">
        <w:rPr>
          <w:rFonts w:cs="Times New Roman"/>
        </w:rPr>
        <w:t>s</w:t>
      </w:r>
      <w:r w:rsidR="005E46F9">
        <w:rPr>
          <w:rFonts w:cs="Times New Roman"/>
        </w:rPr>
        <w:t>,</w:t>
      </w:r>
      <w:r w:rsidR="001D7C81" w:rsidRPr="00691311">
        <w:rPr>
          <w:rFonts w:cs="Times New Roman"/>
        </w:rPr>
        <w:t xml:space="preserve"> </w:t>
      </w:r>
      <w:r w:rsidR="00A32704">
        <w:rPr>
          <w:rFonts w:cs="Times New Roman"/>
        </w:rPr>
        <w:t>as well as</w:t>
      </w:r>
      <w:r w:rsidR="00FA4FDD" w:rsidRPr="00691311">
        <w:rPr>
          <w:rFonts w:cs="Times New Roman"/>
        </w:rPr>
        <w:t xml:space="preserve"> the </w:t>
      </w:r>
      <w:r w:rsidR="00691311" w:rsidRPr="00691311">
        <w:rPr>
          <w:rFonts w:cs="Times New Roman"/>
        </w:rPr>
        <w:t xml:space="preserve">substantial </w:t>
      </w:r>
      <w:r w:rsidR="00FA4FDD" w:rsidRPr="00691311">
        <w:rPr>
          <w:rFonts w:cs="Times New Roman"/>
        </w:rPr>
        <w:t xml:space="preserve">contributions </w:t>
      </w:r>
      <w:r w:rsidR="00A32704">
        <w:rPr>
          <w:rFonts w:cs="Times New Roman"/>
        </w:rPr>
        <w:t>of</w:t>
      </w:r>
      <w:r w:rsidR="00FA4FDD" w:rsidRPr="00691311">
        <w:rPr>
          <w:rFonts w:cs="Times New Roman"/>
        </w:rPr>
        <w:t xml:space="preserve"> </w:t>
      </w:r>
      <w:r w:rsidR="003A16BC">
        <w:rPr>
          <w:rFonts w:cs="Times New Roman"/>
        </w:rPr>
        <w:t xml:space="preserve">Gregory Wolf, Carla Wilber, and Paula Knowlton of </w:t>
      </w:r>
      <w:r w:rsidR="0029528C" w:rsidRPr="00691311">
        <w:rPr>
          <w:rFonts w:cs="Times New Roman"/>
        </w:rPr>
        <w:t>Stroudwater</w:t>
      </w:r>
      <w:r w:rsidR="003610EA">
        <w:rPr>
          <w:rFonts w:cs="Times New Roman"/>
        </w:rPr>
        <w:t xml:space="preserve"> Associates and Mary Guyot </w:t>
      </w:r>
      <w:r w:rsidR="000F4F59">
        <w:rPr>
          <w:rFonts w:cs="Times New Roman"/>
        </w:rPr>
        <w:t xml:space="preserve">of </w:t>
      </w:r>
      <w:r w:rsidR="003610EA">
        <w:rPr>
          <w:rFonts w:cs="Times New Roman"/>
        </w:rPr>
        <w:t xml:space="preserve">Mary Guyot </w:t>
      </w:r>
      <w:r w:rsidR="00A32704">
        <w:rPr>
          <w:rFonts w:cs="Times New Roman"/>
        </w:rPr>
        <w:t>Consulting</w:t>
      </w:r>
      <w:r w:rsidR="00691311" w:rsidRPr="00691311">
        <w:rPr>
          <w:rFonts w:cs="Times New Roman"/>
        </w:rPr>
        <w:t xml:space="preserve"> in </w:t>
      </w:r>
      <w:r w:rsidR="00A32704">
        <w:rPr>
          <w:rFonts w:cs="Times New Roman"/>
        </w:rPr>
        <w:t>the implementation and completion of t</w:t>
      </w:r>
      <w:r w:rsidR="00436120">
        <w:rPr>
          <w:rFonts w:cs="Times New Roman"/>
        </w:rPr>
        <w:t>he field test.</w:t>
      </w:r>
    </w:p>
    <w:p w14:paraId="6D489C09" w14:textId="77777777" w:rsidR="00691311" w:rsidRDefault="00691311" w:rsidP="003916D5">
      <w:pPr>
        <w:autoSpaceDE w:val="0"/>
        <w:autoSpaceDN w:val="0"/>
        <w:adjustRightInd w:val="0"/>
        <w:spacing w:after="0" w:line="480" w:lineRule="auto"/>
        <w:rPr>
          <w:rFonts w:cs="Times New Roman"/>
          <w:b/>
        </w:rPr>
      </w:pPr>
    </w:p>
    <w:p w14:paraId="6DF3FE84" w14:textId="37DAD9A1" w:rsidR="00CE457C" w:rsidRPr="000F4F59" w:rsidRDefault="00A65054" w:rsidP="00A32704">
      <w:pPr>
        <w:spacing w:line="480" w:lineRule="auto"/>
        <w:jc w:val="center"/>
      </w:pPr>
      <w:r>
        <w:rPr>
          <w:rFonts w:cs="Times New Roman"/>
        </w:rPr>
        <w:t>December</w:t>
      </w:r>
      <w:r w:rsidR="00A32704" w:rsidRPr="00A32704">
        <w:rPr>
          <w:rFonts w:cs="Times New Roman"/>
        </w:rPr>
        <w:t xml:space="preserve"> 2019</w:t>
      </w:r>
    </w:p>
    <w:p w14:paraId="37936BE7" w14:textId="77777777" w:rsidR="00E124BC" w:rsidRDefault="00E124BC">
      <w:pPr>
        <w:rPr>
          <w:b/>
        </w:rPr>
      </w:pPr>
      <w:r>
        <w:rPr>
          <w:b/>
        </w:rPr>
        <w:br w:type="page"/>
      </w:r>
    </w:p>
    <w:p w14:paraId="7DA8E815" w14:textId="77777777" w:rsidR="00E124BC" w:rsidRDefault="00E124BC" w:rsidP="003916D5">
      <w:pPr>
        <w:spacing w:line="480" w:lineRule="auto"/>
        <w:rPr>
          <w:b/>
        </w:rPr>
      </w:pPr>
      <w:r>
        <w:rPr>
          <w:b/>
        </w:rPr>
        <w:lastRenderedPageBreak/>
        <w:t>Executive Summary</w:t>
      </w:r>
    </w:p>
    <w:p w14:paraId="08511CD5" w14:textId="30630847" w:rsidR="00E124BC" w:rsidRDefault="00E124BC" w:rsidP="003916D5">
      <w:pPr>
        <w:spacing w:line="480" w:lineRule="auto"/>
      </w:pPr>
      <w:r>
        <w:t>This study identifies relevant quality measures for CAH swing bed patients. Relevant outcome measures focus on the ability of CAHs</w:t>
      </w:r>
      <w:r w:rsidR="00926950">
        <w:t>:</w:t>
      </w:r>
      <w:r>
        <w:t xml:space="preserve"> 1) to return swing bed patients to the community or prior residence and 2) to prevent unplanned readmissions to a hospital during the </w:t>
      </w:r>
      <w:bookmarkStart w:id="1" w:name="_Hlk24989518"/>
      <w:r w:rsidRPr="00837D1E">
        <w:t>30</w:t>
      </w:r>
      <w:r w:rsidR="00A65054" w:rsidRPr="00837D1E">
        <w:t>-</w:t>
      </w:r>
      <w:r w:rsidRPr="00837D1E">
        <w:t>day</w:t>
      </w:r>
      <w:r>
        <w:t xml:space="preserve"> </w:t>
      </w:r>
      <w:bookmarkEnd w:id="1"/>
      <w:r>
        <w:t>period following a discharge from a swing b</w:t>
      </w:r>
      <w:r w:rsidR="00FB3C93">
        <w:t>e</w:t>
      </w:r>
      <w:r>
        <w:t xml:space="preserve">d. Relevant functional status measures include two Minimum Data Set-based measures of changes in risk-adjusted self-care scores and mobility scores between CAH swing bed patient admission and discharge. </w:t>
      </w:r>
      <w:r w:rsidR="00FB3C93">
        <w:t>CAH staff</w:t>
      </w:r>
      <w:r w:rsidR="00A65054">
        <w:t xml:space="preserve"> were successfully trained</w:t>
      </w:r>
      <w:r w:rsidR="00436120">
        <w:t xml:space="preserve"> via webinars, in-</w:t>
      </w:r>
      <w:r w:rsidR="00837D1E">
        <w:t xml:space="preserve">person meetings and </w:t>
      </w:r>
      <w:r w:rsidR="00436120">
        <w:t>a</w:t>
      </w:r>
      <w:r w:rsidR="00837D1E">
        <w:t>n inter-rat</w:t>
      </w:r>
      <w:r w:rsidR="00436120">
        <w:t>er</w:t>
      </w:r>
      <w:r w:rsidR="00837D1E">
        <w:t xml:space="preserve"> r</w:t>
      </w:r>
      <w:r w:rsidR="00383607">
        <w:t>eliability</w:t>
      </w:r>
      <w:r w:rsidR="00837D1E">
        <w:t xml:space="preserve"> exercise</w:t>
      </w:r>
      <w:r w:rsidR="00FB3C93">
        <w:t xml:space="preserve"> to collect</w:t>
      </w:r>
      <w:r>
        <w:t xml:space="preserve"> detailed information on the above measures.</w:t>
      </w:r>
    </w:p>
    <w:p w14:paraId="33571F27" w14:textId="69E38E79" w:rsidR="00E124BC" w:rsidRPr="00E124BC" w:rsidRDefault="00E124BC" w:rsidP="003916D5">
      <w:pPr>
        <w:spacing w:line="480" w:lineRule="auto"/>
      </w:pPr>
      <w:r>
        <w:t>The analytical results indicate a significant</w:t>
      </w:r>
      <w:r w:rsidR="00926950">
        <w:t>ly</w:t>
      </w:r>
      <w:r>
        <w:t xml:space="preserve"> lower overall (i.e. during the swing bed stay and 30 days post swing bed discharge) risk-adjusted hospital readmission rate</w:t>
      </w:r>
      <w:r w:rsidR="00FB3C93">
        <w:t xml:space="preserve"> for swing bed patient</w:t>
      </w:r>
      <w:r w:rsidR="00926950">
        <w:t>s</w:t>
      </w:r>
      <w:r w:rsidR="00FB3C93">
        <w:t xml:space="preserve"> (18.6%) compared to the </w:t>
      </w:r>
      <w:bookmarkStart w:id="2" w:name="_Hlk24989573"/>
      <w:r w:rsidR="00A65054" w:rsidRPr="00837D1E">
        <w:t xml:space="preserve">overall </w:t>
      </w:r>
      <w:r w:rsidR="00FB3C93" w:rsidRPr="00837D1E">
        <w:t>risk-adjusted</w:t>
      </w:r>
      <w:r w:rsidR="00FB3C93">
        <w:t xml:space="preserve"> </w:t>
      </w:r>
      <w:bookmarkEnd w:id="2"/>
      <w:r w:rsidR="00FB3C93">
        <w:t>hospital readmission rate for rural SNF patients of 33.3%. Risk-adjusted changes in self-care and mobility scores were similar for patient</w:t>
      </w:r>
      <w:r w:rsidR="00587AE5">
        <w:t>s in</w:t>
      </w:r>
      <w:r w:rsidR="00FB3C93">
        <w:t xml:space="preserve"> CAH swing beds and all SNF patients</w:t>
      </w:r>
      <w:r w:rsidR="00926950">
        <w:t xml:space="preserve"> in the U.S</w:t>
      </w:r>
      <w:r w:rsidR="00FB3C93">
        <w:t xml:space="preserve">. These results </w:t>
      </w:r>
      <w:r w:rsidR="00436120">
        <w:t>contribute to</w:t>
      </w:r>
      <w:r w:rsidR="00FB3C93">
        <w:t xml:space="preserve"> building an evidence base that </w:t>
      </w:r>
      <w:r w:rsidR="00926950">
        <w:t>quantifies the value</w:t>
      </w:r>
      <w:r w:rsidR="00FB3C93">
        <w:t xml:space="preserve"> of CAH swing beds and allows fa</w:t>
      </w:r>
      <w:r w:rsidR="00926950">
        <w:t>ir</w:t>
      </w:r>
      <w:r w:rsidR="00FB3C93">
        <w:t xml:space="preserve"> comparisons with rural SNF</w:t>
      </w:r>
      <w:r w:rsidR="00926950">
        <w:t>s</w:t>
      </w:r>
      <w:r w:rsidR="00FB3C93">
        <w:t xml:space="preserve"> and other post-acute care options.</w:t>
      </w:r>
    </w:p>
    <w:p w14:paraId="37C0226F" w14:textId="0D942B63" w:rsidR="00CE457C" w:rsidRDefault="00CE457C" w:rsidP="003916D5">
      <w:pPr>
        <w:spacing w:line="480" w:lineRule="auto"/>
        <w:rPr>
          <w:b/>
        </w:rPr>
      </w:pPr>
      <w:r>
        <w:rPr>
          <w:b/>
        </w:rPr>
        <w:br w:type="page"/>
      </w:r>
    </w:p>
    <w:p w14:paraId="6DFCD0B4" w14:textId="77777777" w:rsidR="001F5C9D" w:rsidRPr="001F5C9D" w:rsidRDefault="001F5C9D" w:rsidP="003916D5">
      <w:pPr>
        <w:pStyle w:val="BodyText"/>
        <w:spacing w:line="480" w:lineRule="auto"/>
        <w:ind w:left="0" w:right="107"/>
        <w:rPr>
          <w:rFonts w:asciiTheme="minorHAnsi" w:hAnsiTheme="minorHAnsi"/>
          <w:b/>
        </w:rPr>
      </w:pPr>
      <w:r w:rsidRPr="001F5C9D">
        <w:rPr>
          <w:rFonts w:asciiTheme="minorHAnsi" w:hAnsiTheme="minorHAnsi"/>
          <w:b/>
        </w:rPr>
        <w:lastRenderedPageBreak/>
        <w:t>Background</w:t>
      </w:r>
    </w:p>
    <w:p w14:paraId="16DF8493" w14:textId="78F1C7FB" w:rsidR="00FA0B9F" w:rsidRDefault="00092D69" w:rsidP="003916D5">
      <w:pPr>
        <w:pStyle w:val="BodyText"/>
        <w:spacing w:line="480" w:lineRule="auto"/>
        <w:ind w:left="0" w:right="107"/>
        <w:rPr>
          <w:rFonts w:asciiTheme="minorHAnsi" w:hAnsiTheme="minorHAnsi"/>
        </w:rPr>
      </w:pPr>
      <w:r w:rsidRPr="008F100A">
        <w:rPr>
          <w:rFonts w:asciiTheme="minorHAnsi" w:hAnsiTheme="minorHAnsi"/>
        </w:rPr>
        <w:t xml:space="preserve">The Medicare </w:t>
      </w:r>
      <w:r w:rsidR="00436120">
        <w:rPr>
          <w:rFonts w:asciiTheme="minorHAnsi" w:hAnsiTheme="minorHAnsi"/>
        </w:rPr>
        <w:t>swing bed</w:t>
      </w:r>
      <w:r w:rsidRPr="008F100A">
        <w:rPr>
          <w:rFonts w:asciiTheme="minorHAnsi" w:hAnsiTheme="minorHAnsi"/>
        </w:rPr>
        <w:t xml:space="preserve"> program</w:t>
      </w:r>
      <w:r w:rsidRPr="008F100A">
        <w:rPr>
          <w:rFonts w:asciiTheme="minorHAnsi" w:hAnsiTheme="minorHAnsi"/>
          <w:spacing w:val="-2"/>
        </w:rPr>
        <w:t xml:space="preserve"> </w:t>
      </w:r>
      <w:r w:rsidRPr="008F100A">
        <w:rPr>
          <w:rFonts w:asciiTheme="minorHAnsi" w:hAnsiTheme="minorHAnsi"/>
        </w:rPr>
        <w:t>allows rural hospitals with fewer than</w:t>
      </w:r>
      <w:r w:rsidRPr="008F100A">
        <w:rPr>
          <w:rFonts w:asciiTheme="minorHAnsi" w:hAnsiTheme="minorHAnsi"/>
          <w:spacing w:val="-2"/>
        </w:rPr>
        <w:t xml:space="preserve"> </w:t>
      </w:r>
      <w:r w:rsidRPr="008F100A">
        <w:rPr>
          <w:rFonts w:asciiTheme="minorHAnsi" w:hAnsiTheme="minorHAnsi"/>
        </w:rPr>
        <w:t>100</w:t>
      </w:r>
      <w:r w:rsidRPr="008F100A">
        <w:rPr>
          <w:rFonts w:asciiTheme="minorHAnsi" w:hAnsiTheme="minorHAnsi"/>
          <w:spacing w:val="-1"/>
        </w:rPr>
        <w:t xml:space="preserve"> </w:t>
      </w:r>
      <w:r w:rsidRPr="008F100A">
        <w:rPr>
          <w:rFonts w:asciiTheme="minorHAnsi" w:hAnsiTheme="minorHAnsi"/>
        </w:rPr>
        <w:t>beds</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1"/>
        </w:rPr>
        <w:t xml:space="preserve"> </w:t>
      </w:r>
      <w:r w:rsidRPr="008F100A">
        <w:rPr>
          <w:rFonts w:asciiTheme="minorHAnsi" w:hAnsiTheme="minorHAnsi"/>
        </w:rPr>
        <w:t>use</w:t>
      </w:r>
      <w:r w:rsidRPr="008F100A">
        <w:rPr>
          <w:rFonts w:asciiTheme="minorHAnsi" w:hAnsiTheme="minorHAnsi"/>
          <w:spacing w:val="-1"/>
        </w:rPr>
        <w:t xml:space="preserve"> </w:t>
      </w:r>
      <w:r w:rsidRPr="008F100A">
        <w:rPr>
          <w:rFonts w:asciiTheme="minorHAnsi" w:hAnsiTheme="minorHAnsi"/>
        </w:rPr>
        <w:t>their inpatient</w:t>
      </w:r>
      <w:r w:rsidRPr="008F100A">
        <w:rPr>
          <w:rFonts w:asciiTheme="minorHAnsi" w:hAnsiTheme="minorHAnsi"/>
          <w:spacing w:val="-1"/>
        </w:rPr>
        <w:t xml:space="preserve"> </w:t>
      </w:r>
      <w:r w:rsidRPr="008F100A">
        <w:rPr>
          <w:rFonts w:asciiTheme="minorHAnsi" w:hAnsiTheme="minorHAnsi"/>
        </w:rPr>
        <w:t>beds</w:t>
      </w:r>
      <w:r w:rsidRPr="008F100A">
        <w:rPr>
          <w:rFonts w:asciiTheme="minorHAnsi" w:hAnsiTheme="minorHAnsi"/>
          <w:spacing w:val="-1"/>
        </w:rPr>
        <w:t xml:space="preserve"> </w:t>
      </w:r>
      <w:r w:rsidRPr="008F100A">
        <w:rPr>
          <w:rFonts w:asciiTheme="minorHAnsi" w:hAnsiTheme="minorHAnsi"/>
        </w:rPr>
        <w:t>either</w:t>
      </w:r>
      <w:r w:rsidRPr="008F100A">
        <w:rPr>
          <w:rFonts w:asciiTheme="minorHAnsi" w:hAnsiTheme="minorHAnsi"/>
          <w:spacing w:val="-1"/>
        </w:rPr>
        <w:t xml:space="preserve"> </w:t>
      </w:r>
      <w:r w:rsidRPr="008F100A">
        <w:rPr>
          <w:rFonts w:asciiTheme="minorHAnsi" w:hAnsiTheme="minorHAnsi"/>
        </w:rPr>
        <w:t>for</w:t>
      </w:r>
      <w:r w:rsidRPr="008F100A">
        <w:rPr>
          <w:rFonts w:asciiTheme="minorHAnsi" w:hAnsiTheme="minorHAnsi"/>
          <w:spacing w:val="-1"/>
        </w:rPr>
        <w:t xml:space="preserve"> </w:t>
      </w:r>
      <w:r w:rsidRPr="008F100A">
        <w:rPr>
          <w:rFonts w:asciiTheme="minorHAnsi" w:hAnsiTheme="minorHAnsi"/>
        </w:rPr>
        <w:t>acute</w:t>
      </w:r>
      <w:r w:rsidRPr="008F100A">
        <w:rPr>
          <w:rFonts w:asciiTheme="minorHAnsi" w:hAnsiTheme="minorHAnsi"/>
          <w:spacing w:val="-1"/>
        </w:rPr>
        <w:t xml:space="preserve"> </w:t>
      </w:r>
      <w:r w:rsidRPr="008F100A">
        <w:rPr>
          <w:rFonts w:asciiTheme="minorHAnsi" w:hAnsiTheme="minorHAnsi"/>
        </w:rPr>
        <w:t>care or skilled nursing facility</w:t>
      </w:r>
      <w:r w:rsidRPr="008F100A">
        <w:rPr>
          <w:rFonts w:asciiTheme="minorHAnsi" w:hAnsiTheme="minorHAnsi"/>
          <w:spacing w:val="-1"/>
        </w:rPr>
        <w:t xml:space="preserve"> </w:t>
      </w:r>
      <w:r w:rsidRPr="008F100A">
        <w:rPr>
          <w:rFonts w:asciiTheme="minorHAnsi" w:hAnsiTheme="minorHAnsi"/>
        </w:rPr>
        <w:t xml:space="preserve">(SNF)-level </w:t>
      </w:r>
      <w:r w:rsidR="00436120">
        <w:rPr>
          <w:rFonts w:asciiTheme="minorHAnsi" w:hAnsiTheme="minorHAnsi"/>
        </w:rPr>
        <w:t>swing bed</w:t>
      </w:r>
      <w:r w:rsidRPr="008F100A">
        <w:rPr>
          <w:rFonts w:asciiTheme="minorHAnsi" w:hAnsiTheme="minorHAnsi"/>
        </w:rPr>
        <w:t xml:space="preserve"> care.</w:t>
      </w:r>
      <w:r w:rsidR="00DA7761" w:rsidRPr="008F100A">
        <w:rPr>
          <w:rFonts w:asciiTheme="minorHAnsi" w:hAnsiTheme="minorHAnsi"/>
          <w:vertAlign w:val="superscript"/>
        </w:rPr>
        <w:t>1</w:t>
      </w:r>
      <w:r w:rsidR="005509AE">
        <w:rPr>
          <w:rFonts w:asciiTheme="minorHAnsi" w:hAnsiTheme="minorHAnsi"/>
        </w:rPr>
        <w:t xml:space="preserve"> </w:t>
      </w:r>
      <w:r w:rsidR="00436120">
        <w:rPr>
          <w:rFonts w:asciiTheme="minorHAnsi" w:hAnsiTheme="minorHAnsi"/>
        </w:rPr>
        <w:t>Swing bed</w:t>
      </w:r>
      <w:r w:rsidRPr="008F100A">
        <w:rPr>
          <w:rFonts w:asciiTheme="minorHAnsi" w:hAnsiTheme="minorHAnsi"/>
          <w:spacing w:val="-1"/>
        </w:rPr>
        <w:t xml:space="preserve"> </w:t>
      </w:r>
      <w:r w:rsidRPr="008F100A">
        <w:rPr>
          <w:rFonts w:asciiTheme="minorHAnsi" w:hAnsiTheme="minorHAnsi"/>
        </w:rPr>
        <w:t>services</w:t>
      </w:r>
      <w:r w:rsidRPr="008F100A">
        <w:rPr>
          <w:rFonts w:asciiTheme="minorHAnsi" w:hAnsiTheme="minorHAnsi"/>
          <w:spacing w:val="-1"/>
        </w:rPr>
        <w:t xml:space="preserve"> </w:t>
      </w:r>
      <w:r w:rsidRPr="008F100A">
        <w:rPr>
          <w:rFonts w:asciiTheme="minorHAnsi" w:hAnsiTheme="minorHAnsi"/>
        </w:rPr>
        <w:t>provided</w:t>
      </w:r>
      <w:r w:rsidRPr="008F100A">
        <w:rPr>
          <w:rFonts w:asciiTheme="minorHAnsi" w:hAnsiTheme="minorHAnsi"/>
          <w:spacing w:val="-1"/>
        </w:rPr>
        <w:t xml:space="preserve"> </w:t>
      </w:r>
      <w:r w:rsidRPr="008F100A">
        <w:rPr>
          <w:rFonts w:asciiTheme="minorHAnsi" w:hAnsiTheme="minorHAnsi"/>
        </w:rPr>
        <w:t>in</w:t>
      </w:r>
      <w:r w:rsidRPr="008F100A">
        <w:rPr>
          <w:rFonts w:asciiTheme="minorHAnsi" w:hAnsiTheme="minorHAnsi"/>
          <w:spacing w:val="-1"/>
        </w:rPr>
        <w:t xml:space="preserve"> </w:t>
      </w:r>
      <w:r w:rsidRPr="008F100A">
        <w:rPr>
          <w:rFonts w:asciiTheme="minorHAnsi" w:hAnsiTheme="minorHAnsi"/>
        </w:rPr>
        <w:t>rural</w:t>
      </w:r>
      <w:r w:rsidRPr="008F100A">
        <w:rPr>
          <w:rFonts w:asciiTheme="minorHAnsi" w:hAnsiTheme="minorHAnsi"/>
          <w:spacing w:val="-1"/>
        </w:rPr>
        <w:t xml:space="preserve"> Prospective</w:t>
      </w:r>
      <w:r w:rsidRPr="008F100A">
        <w:rPr>
          <w:rFonts w:asciiTheme="minorHAnsi" w:hAnsiTheme="minorHAnsi"/>
        </w:rPr>
        <w:t xml:space="preserve"> </w:t>
      </w:r>
      <w:r w:rsidRPr="008F100A">
        <w:rPr>
          <w:rFonts w:asciiTheme="minorHAnsi" w:hAnsiTheme="minorHAnsi"/>
          <w:spacing w:val="-1"/>
        </w:rPr>
        <w:t>Payment</w:t>
      </w:r>
      <w:r w:rsidRPr="008F100A">
        <w:rPr>
          <w:rFonts w:asciiTheme="minorHAnsi" w:hAnsiTheme="minorHAnsi"/>
        </w:rPr>
        <w:t xml:space="preserve"> System</w:t>
      </w:r>
      <w:r w:rsidRPr="008F100A">
        <w:rPr>
          <w:rFonts w:asciiTheme="minorHAnsi" w:hAnsiTheme="minorHAnsi"/>
          <w:spacing w:val="-2"/>
        </w:rPr>
        <w:t xml:space="preserve"> </w:t>
      </w:r>
      <w:r w:rsidRPr="008F100A">
        <w:rPr>
          <w:rFonts w:asciiTheme="minorHAnsi" w:hAnsiTheme="minorHAnsi"/>
        </w:rPr>
        <w:t>(PPS)</w:t>
      </w:r>
      <w:r w:rsidRPr="008F100A">
        <w:rPr>
          <w:rFonts w:asciiTheme="minorHAnsi" w:hAnsiTheme="minorHAnsi"/>
          <w:spacing w:val="-1"/>
        </w:rPr>
        <w:t xml:space="preserve"> </w:t>
      </w:r>
      <w:r w:rsidRPr="008F100A">
        <w:rPr>
          <w:rFonts w:asciiTheme="minorHAnsi" w:hAnsiTheme="minorHAnsi"/>
        </w:rPr>
        <w:t>hospitals are paid for under the</w:t>
      </w:r>
      <w:r w:rsidRPr="008F100A">
        <w:rPr>
          <w:rFonts w:asciiTheme="minorHAnsi" w:hAnsiTheme="minorHAnsi"/>
          <w:spacing w:val="31"/>
        </w:rPr>
        <w:t xml:space="preserve"> </w:t>
      </w:r>
      <w:r w:rsidRPr="008F100A">
        <w:rPr>
          <w:rFonts w:asciiTheme="minorHAnsi" w:hAnsiTheme="minorHAnsi"/>
        </w:rPr>
        <w:t>SNF</w:t>
      </w:r>
      <w:r w:rsidRPr="008F100A">
        <w:rPr>
          <w:rFonts w:asciiTheme="minorHAnsi" w:hAnsiTheme="minorHAnsi"/>
          <w:spacing w:val="-1"/>
        </w:rPr>
        <w:t xml:space="preserve"> </w:t>
      </w:r>
      <w:r w:rsidRPr="008F100A">
        <w:rPr>
          <w:rFonts w:asciiTheme="minorHAnsi" w:hAnsiTheme="minorHAnsi"/>
        </w:rPr>
        <w:t>PPS,</w:t>
      </w:r>
      <w:r w:rsidRPr="008F100A">
        <w:rPr>
          <w:rFonts w:asciiTheme="minorHAnsi" w:hAnsiTheme="minorHAnsi"/>
          <w:spacing w:val="-1"/>
        </w:rPr>
        <w:t xml:space="preserve"> </w:t>
      </w:r>
      <w:r w:rsidRPr="008F100A">
        <w:rPr>
          <w:rFonts w:asciiTheme="minorHAnsi" w:hAnsiTheme="minorHAnsi"/>
        </w:rPr>
        <w:t>while</w:t>
      </w:r>
      <w:r w:rsidRPr="008F100A">
        <w:rPr>
          <w:rFonts w:asciiTheme="minorHAnsi" w:hAnsiTheme="minorHAnsi"/>
          <w:spacing w:val="-1"/>
        </w:rPr>
        <w:t xml:space="preserve"> </w:t>
      </w:r>
      <w:r w:rsidRPr="008F100A">
        <w:rPr>
          <w:rFonts w:asciiTheme="minorHAnsi" w:hAnsiTheme="minorHAnsi"/>
        </w:rPr>
        <w:t>C</w:t>
      </w:r>
      <w:r w:rsidR="001F5C9D">
        <w:rPr>
          <w:rFonts w:asciiTheme="minorHAnsi" w:hAnsiTheme="minorHAnsi"/>
        </w:rPr>
        <w:t>ritical Access Hospitals (C</w:t>
      </w:r>
      <w:r w:rsidRPr="008F100A">
        <w:rPr>
          <w:rFonts w:asciiTheme="minorHAnsi" w:hAnsiTheme="minorHAnsi"/>
        </w:rPr>
        <w:t>AHs</w:t>
      </w:r>
      <w:r w:rsidR="001F5C9D">
        <w:rPr>
          <w:rFonts w:asciiTheme="minorHAnsi" w:hAnsiTheme="minorHAnsi"/>
        </w:rPr>
        <w:t>)</w:t>
      </w:r>
      <w:r w:rsidRPr="008F100A">
        <w:rPr>
          <w:rFonts w:asciiTheme="minorHAnsi" w:hAnsiTheme="minorHAnsi"/>
          <w:spacing w:val="-1"/>
        </w:rPr>
        <w:t xml:space="preserve"> </w:t>
      </w:r>
      <w:r w:rsidRPr="008F100A">
        <w:rPr>
          <w:rFonts w:asciiTheme="minorHAnsi" w:hAnsiTheme="minorHAnsi"/>
        </w:rPr>
        <w:t>receive</w:t>
      </w:r>
      <w:r w:rsidRPr="008F100A">
        <w:rPr>
          <w:rFonts w:asciiTheme="minorHAnsi" w:hAnsiTheme="minorHAnsi"/>
          <w:spacing w:val="-1"/>
        </w:rPr>
        <w:t xml:space="preserve"> </w:t>
      </w:r>
      <w:r w:rsidRPr="008F100A">
        <w:rPr>
          <w:rFonts w:asciiTheme="minorHAnsi" w:hAnsiTheme="minorHAnsi"/>
        </w:rPr>
        <w:t>cost-based</w:t>
      </w:r>
      <w:r w:rsidRPr="008F100A">
        <w:rPr>
          <w:rFonts w:asciiTheme="minorHAnsi" w:hAnsiTheme="minorHAnsi"/>
          <w:spacing w:val="-1"/>
        </w:rPr>
        <w:t xml:space="preserve"> reimbursement</w:t>
      </w:r>
      <w:r w:rsidRPr="008F100A">
        <w:rPr>
          <w:rFonts w:asciiTheme="minorHAnsi" w:hAnsiTheme="minorHAnsi"/>
        </w:rPr>
        <w:t xml:space="preserve"> for </w:t>
      </w:r>
      <w:r w:rsidR="00436120">
        <w:rPr>
          <w:rFonts w:asciiTheme="minorHAnsi" w:hAnsiTheme="minorHAnsi"/>
        </w:rPr>
        <w:t>swing bed</w:t>
      </w:r>
      <w:r w:rsidRPr="008F100A">
        <w:rPr>
          <w:rFonts w:asciiTheme="minorHAnsi" w:hAnsiTheme="minorHAnsi"/>
        </w:rPr>
        <w:t xml:space="preserve"> services. </w:t>
      </w:r>
      <w:r w:rsidR="00FA0B9F" w:rsidRPr="008F100A">
        <w:rPr>
          <w:rFonts w:asciiTheme="minorHAnsi" w:hAnsiTheme="minorHAnsi"/>
        </w:rPr>
        <w:t>Currently</w:t>
      </w:r>
      <w:r w:rsidR="00FA0B9F">
        <w:rPr>
          <w:rFonts w:asciiTheme="minorHAnsi" w:hAnsiTheme="minorHAnsi"/>
        </w:rPr>
        <w:t>,</w:t>
      </w:r>
      <w:r w:rsidR="00FA0B9F" w:rsidRPr="008F100A">
        <w:rPr>
          <w:rFonts w:asciiTheme="minorHAnsi" w:hAnsiTheme="minorHAnsi"/>
        </w:rPr>
        <w:t xml:space="preserve"> approximately 1,</w:t>
      </w:r>
      <w:r w:rsidR="007D519B">
        <w:rPr>
          <w:rFonts w:asciiTheme="minorHAnsi" w:hAnsiTheme="minorHAnsi"/>
        </w:rPr>
        <w:t>1</w:t>
      </w:r>
      <w:r w:rsidR="00FA0B9F" w:rsidRPr="008F100A">
        <w:rPr>
          <w:rFonts w:asciiTheme="minorHAnsi" w:hAnsiTheme="minorHAnsi"/>
        </w:rPr>
        <w:t xml:space="preserve">82 CAHs (88%) nationally provide </w:t>
      </w:r>
      <w:r w:rsidR="00436120">
        <w:rPr>
          <w:rFonts w:asciiTheme="minorHAnsi" w:hAnsiTheme="minorHAnsi"/>
        </w:rPr>
        <w:t>swing bed</w:t>
      </w:r>
      <w:r w:rsidR="00FA0B9F" w:rsidRPr="008F100A">
        <w:rPr>
          <w:rFonts w:asciiTheme="minorHAnsi" w:hAnsiTheme="minorHAnsi"/>
        </w:rPr>
        <w:t xml:space="preserve"> services.</w:t>
      </w:r>
      <w:r w:rsidR="00FA0B9F" w:rsidRPr="008F100A">
        <w:rPr>
          <w:rFonts w:asciiTheme="minorHAnsi" w:hAnsiTheme="minorHAnsi"/>
          <w:vertAlign w:val="superscript"/>
        </w:rPr>
        <w:t>2</w:t>
      </w:r>
    </w:p>
    <w:p w14:paraId="17EDC68F" w14:textId="77777777" w:rsidR="00FA0B9F" w:rsidRDefault="00FA0B9F" w:rsidP="003916D5">
      <w:pPr>
        <w:pStyle w:val="BodyText"/>
        <w:spacing w:line="480" w:lineRule="auto"/>
        <w:ind w:left="0" w:right="107"/>
        <w:rPr>
          <w:rFonts w:asciiTheme="minorHAnsi" w:hAnsiTheme="minorHAnsi"/>
        </w:rPr>
      </w:pPr>
    </w:p>
    <w:p w14:paraId="17E7168C" w14:textId="1607FD4C" w:rsidR="00092D69" w:rsidRPr="008F100A" w:rsidRDefault="00092D69" w:rsidP="003916D5">
      <w:pPr>
        <w:pStyle w:val="BodyText"/>
        <w:spacing w:line="480" w:lineRule="auto"/>
        <w:ind w:left="0" w:right="107"/>
        <w:rPr>
          <w:rFonts w:asciiTheme="minorHAnsi" w:hAnsiTheme="minorHAnsi"/>
        </w:rPr>
      </w:pPr>
      <w:bookmarkStart w:id="3" w:name="_Hlk24989652"/>
      <w:r w:rsidRPr="00837D1E">
        <w:rPr>
          <w:rFonts w:asciiTheme="minorHAnsi" w:hAnsiTheme="minorHAnsi"/>
        </w:rPr>
        <w:t>PPS hospitals</w:t>
      </w:r>
      <w:r w:rsidRPr="00837D1E">
        <w:rPr>
          <w:rFonts w:asciiTheme="minorHAnsi" w:hAnsiTheme="minorHAnsi"/>
          <w:spacing w:val="21"/>
        </w:rPr>
        <w:t xml:space="preserve"> </w:t>
      </w:r>
      <w:r w:rsidR="00837D1E" w:rsidRPr="00837D1E">
        <w:rPr>
          <w:rFonts w:asciiTheme="minorHAnsi" w:hAnsiTheme="minorHAnsi"/>
          <w:spacing w:val="21"/>
        </w:rPr>
        <w:t xml:space="preserve">with swing beds and SNFs </w:t>
      </w:r>
      <w:r w:rsidRPr="00837D1E">
        <w:rPr>
          <w:rFonts w:asciiTheme="minorHAnsi" w:hAnsiTheme="minorHAnsi"/>
        </w:rPr>
        <w:t>are</w:t>
      </w:r>
      <w:r w:rsidRPr="00837D1E">
        <w:rPr>
          <w:rFonts w:asciiTheme="minorHAnsi" w:hAnsiTheme="minorHAnsi"/>
          <w:spacing w:val="-1"/>
        </w:rPr>
        <w:t xml:space="preserve"> </w:t>
      </w:r>
      <w:r w:rsidRPr="00837D1E">
        <w:rPr>
          <w:rFonts w:asciiTheme="minorHAnsi" w:hAnsiTheme="minorHAnsi"/>
        </w:rPr>
        <w:t>required</w:t>
      </w:r>
      <w:r w:rsidRPr="00837D1E">
        <w:rPr>
          <w:rFonts w:asciiTheme="minorHAnsi" w:hAnsiTheme="minorHAnsi"/>
          <w:spacing w:val="-1"/>
        </w:rPr>
        <w:t xml:space="preserve"> </w:t>
      </w:r>
      <w:r w:rsidRPr="00837D1E">
        <w:rPr>
          <w:rFonts w:asciiTheme="minorHAnsi" w:hAnsiTheme="minorHAnsi"/>
        </w:rPr>
        <w:t>to</w:t>
      </w:r>
      <w:r w:rsidRPr="00837D1E">
        <w:rPr>
          <w:rFonts w:asciiTheme="minorHAnsi" w:hAnsiTheme="minorHAnsi"/>
          <w:spacing w:val="-1"/>
        </w:rPr>
        <w:t xml:space="preserve"> </w:t>
      </w:r>
      <w:r w:rsidRPr="00837D1E">
        <w:rPr>
          <w:rFonts w:asciiTheme="minorHAnsi" w:hAnsiTheme="minorHAnsi"/>
        </w:rPr>
        <w:t>collect</w:t>
      </w:r>
      <w:r w:rsidRPr="00837D1E">
        <w:rPr>
          <w:rFonts w:asciiTheme="minorHAnsi" w:hAnsiTheme="minorHAnsi"/>
          <w:spacing w:val="-1"/>
        </w:rPr>
        <w:t xml:space="preserve"> patient</w:t>
      </w:r>
      <w:r w:rsidRPr="00837D1E">
        <w:rPr>
          <w:rFonts w:asciiTheme="minorHAnsi" w:hAnsiTheme="minorHAnsi"/>
        </w:rPr>
        <w:t xml:space="preserve"> data</w:t>
      </w:r>
      <w:r w:rsidRPr="00837D1E">
        <w:rPr>
          <w:rFonts w:asciiTheme="minorHAnsi" w:hAnsiTheme="minorHAnsi"/>
          <w:spacing w:val="-1"/>
        </w:rPr>
        <w:t xml:space="preserve"> </w:t>
      </w:r>
      <w:r w:rsidRPr="00837D1E">
        <w:rPr>
          <w:rFonts w:asciiTheme="minorHAnsi" w:hAnsiTheme="minorHAnsi"/>
        </w:rPr>
        <w:t>and</w:t>
      </w:r>
      <w:r w:rsidRPr="00837D1E">
        <w:rPr>
          <w:rFonts w:asciiTheme="minorHAnsi" w:hAnsiTheme="minorHAnsi"/>
          <w:spacing w:val="-1"/>
        </w:rPr>
        <w:t xml:space="preserve"> </w:t>
      </w:r>
      <w:r w:rsidRPr="00837D1E">
        <w:rPr>
          <w:rFonts w:asciiTheme="minorHAnsi" w:hAnsiTheme="minorHAnsi"/>
        </w:rPr>
        <w:t>provide</w:t>
      </w:r>
      <w:r w:rsidRPr="00837D1E">
        <w:rPr>
          <w:rFonts w:asciiTheme="minorHAnsi" w:hAnsiTheme="minorHAnsi"/>
          <w:spacing w:val="-1"/>
        </w:rPr>
        <w:t xml:space="preserve"> </w:t>
      </w:r>
      <w:r w:rsidRPr="00837D1E">
        <w:rPr>
          <w:rFonts w:asciiTheme="minorHAnsi" w:hAnsiTheme="minorHAnsi"/>
        </w:rPr>
        <w:t>it</w:t>
      </w:r>
      <w:r w:rsidRPr="00837D1E">
        <w:rPr>
          <w:rFonts w:asciiTheme="minorHAnsi" w:hAnsiTheme="minorHAnsi"/>
          <w:spacing w:val="-1"/>
        </w:rPr>
        <w:t xml:space="preserve"> </w:t>
      </w:r>
      <w:r w:rsidRPr="00837D1E">
        <w:rPr>
          <w:rFonts w:asciiTheme="minorHAnsi" w:hAnsiTheme="minorHAnsi"/>
        </w:rPr>
        <w:t>to</w:t>
      </w:r>
      <w:r w:rsidRPr="00837D1E">
        <w:rPr>
          <w:rFonts w:asciiTheme="minorHAnsi" w:hAnsiTheme="minorHAnsi"/>
          <w:spacing w:val="-1"/>
        </w:rPr>
        <w:t xml:space="preserve"> </w:t>
      </w:r>
      <w:r w:rsidR="00E81030" w:rsidRPr="00837D1E">
        <w:rPr>
          <w:rFonts w:asciiTheme="minorHAnsi" w:hAnsiTheme="minorHAnsi"/>
          <w:spacing w:val="-1"/>
        </w:rPr>
        <w:t xml:space="preserve">the Centers for Medicare &amp; </w:t>
      </w:r>
      <w:r w:rsidR="00B30335" w:rsidRPr="00837D1E">
        <w:rPr>
          <w:rFonts w:asciiTheme="minorHAnsi" w:hAnsiTheme="minorHAnsi"/>
          <w:spacing w:val="-1"/>
        </w:rPr>
        <w:t>Medicaid</w:t>
      </w:r>
      <w:r w:rsidR="00E81030" w:rsidRPr="00837D1E">
        <w:rPr>
          <w:rFonts w:asciiTheme="minorHAnsi" w:hAnsiTheme="minorHAnsi"/>
          <w:spacing w:val="-1"/>
        </w:rPr>
        <w:t xml:space="preserve"> Services (</w:t>
      </w:r>
      <w:r w:rsidRPr="00837D1E">
        <w:rPr>
          <w:rFonts w:asciiTheme="minorHAnsi" w:hAnsiTheme="minorHAnsi"/>
        </w:rPr>
        <w:t>CMS</w:t>
      </w:r>
      <w:r w:rsidR="00E81030" w:rsidRPr="00837D1E">
        <w:rPr>
          <w:rFonts w:asciiTheme="minorHAnsi" w:hAnsiTheme="minorHAnsi"/>
        </w:rPr>
        <w:t>)</w:t>
      </w:r>
      <w:r w:rsidRPr="00837D1E">
        <w:rPr>
          <w:rFonts w:asciiTheme="minorHAnsi" w:hAnsiTheme="minorHAnsi"/>
          <w:spacing w:val="-1"/>
        </w:rPr>
        <w:t xml:space="preserve"> </w:t>
      </w:r>
      <w:r w:rsidRPr="00837D1E">
        <w:rPr>
          <w:rFonts w:asciiTheme="minorHAnsi" w:hAnsiTheme="minorHAnsi"/>
        </w:rPr>
        <w:t xml:space="preserve">using the </w:t>
      </w:r>
      <w:r w:rsidR="00837D1E" w:rsidRPr="00837D1E">
        <w:rPr>
          <w:rFonts w:asciiTheme="minorHAnsi" w:hAnsiTheme="minorHAnsi"/>
        </w:rPr>
        <w:t>SNF</w:t>
      </w:r>
      <w:r w:rsidRPr="00837D1E">
        <w:rPr>
          <w:rFonts w:asciiTheme="minorHAnsi" w:hAnsiTheme="minorHAnsi"/>
        </w:rPr>
        <w:t xml:space="preserve"> </w:t>
      </w:r>
      <w:r w:rsidRPr="00837D1E">
        <w:rPr>
          <w:rFonts w:asciiTheme="minorHAnsi" w:hAnsiTheme="minorHAnsi"/>
          <w:spacing w:val="-1"/>
        </w:rPr>
        <w:t>Minimum</w:t>
      </w:r>
      <w:r w:rsidRPr="00837D1E">
        <w:rPr>
          <w:rFonts w:asciiTheme="minorHAnsi" w:hAnsiTheme="minorHAnsi"/>
        </w:rPr>
        <w:t xml:space="preserve"> Data</w:t>
      </w:r>
      <w:r w:rsidRPr="00837D1E">
        <w:rPr>
          <w:rFonts w:asciiTheme="minorHAnsi" w:hAnsiTheme="minorHAnsi"/>
          <w:spacing w:val="14"/>
        </w:rPr>
        <w:t xml:space="preserve"> Set</w:t>
      </w:r>
      <w:r w:rsidRPr="00837D1E">
        <w:rPr>
          <w:rFonts w:asciiTheme="minorHAnsi" w:hAnsiTheme="minorHAnsi"/>
          <w:spacing w:val="-1"/>
        </w:rPr>
        <w:t xml:space="preserve"> </w:t>
      </w:r>
      <w:r w:rsidRPr="00837D1E">
        <w:rPr>
          <w:rFonts w:asciiTheme="minorHAnsi" w:hAnsiTheme="minorHAnsi"/>
        </w:rPr>
        <w:t>(MDS),</w:t>
      </w:r>
      <w:r w:rsidRPr="00837D1E">
        <w:rPr>
          <w:rFonts w:asciiTheme="minorHAnsi" w:hAnsiTheme="minorHAnsi"/>
          <w:spacing w:val="-1"/>
        </w:rPr>
        <w:t xml:space="preserve"> </w:t>
      </w:r>
      <w:r w:rsidRPr="00837D1E">
        <w:rPr>
          <w:rFonts w:asciiTheme="minorHAnsi" w:hAnsiTheme="minorHAnsi"/>
        </w:rPr>
        <w:t>a</w:t>
      </w:r>
      <w:r w:rsidRPr="00837D1E">
        <w:rPr>
          <w:rFonts w:asciiTheme="minorHAnsi" w:hAnsiTheme="minorHAnsi"/>
          <w:spacing w:val="-1"/>
        </w:rPr>
        <w:t xml:space="preserve"> </w:t>
      </w:r>
      <w:r w:rsidRPr="00837D1E">
        <w:rPr>
          <w:rFonts w:asciiTheme="minorHAnsi" w:hAnsiTheme="minorHAnsi"/>
        </w:rPr>
        <w:t>tool</w:t>
      </w:r>
      <w:r w:rsidRPr="00837D1E">
        <w:rPr>
          <w:rFonts w:asciiTheme="minorHAnsi" w:hAnsiTheme="minorHAnsi"/>
          <w:spacing w:val="-1"/>
        </w:rPr>
        <w:t xml:space="preserve"> </w:t>
      </w:r>
      <w:r w:rsidR="00436120">
        <w:rPr>
          <w:rFonts w:asciiTheme="minorHAnsi" w:hAnsiTheme="minorHAnsi"/>
        </w:rPr>
        <w:t xml:space="preserve">to </w:t>
      </w:r>
      <w:r w:rsidR="00436120">
        <w:rPr>
          <w:rFonts w:asciiTheme="minorHAnsi" w:hAnsiTheme="minorHAnsi"/>
          <w:spacing w:val="-1"/>
        </w:rPr>
        <w:t>implement</w:t>
      </w:r>
      <w:r w:rsidRPr="00837D1E">
        <w:rPr>
          <w:rFonts w:asciiTheme="minorHAnsi" w:hAnsiTheme="minorHAnsi"/>
          <w:spacing w:val="-1"/>
        </w:rPr>
        <w:t xml:space="preserve"> </w:t>
      </w:r>
      <w:r w:rsidRPr="00837D1E">
        <w:rPr>
          <w:rFonts w:asciiTheme="minorHAnsi" w:hAnsiTheme="minorHAnsi"/>
        </w:rPr>
        <w:t>standardized</w:t>
      </w:r>
      <w:r w:rsidRPr="00837D1E">
        <w:rPr>
          <w:rFonts w:asciiTheme="minorHAnsi" w:hAnsiTheme="minorHAnsi"/>
          <w:spacing w:val="-2"/>
        </w:rPr>
        <w:t xml:space="preserve"> </w:t>
      </w:r>
      <w:r w:rsidRPr="00837D1E">
        <w:rPr>
          <w:rFonts w:asciiTheme="minorHAnsi" w:hAnsiTheme="minorHAnsi"/>
          <w:spacing w:val="-1"/>
        </w:rPr>
        <w:t>assessment</w:t>
      </w:r>
      <w:r w:rsidRPr="00837D1E">
        <w:rPr>
          <w:rFonts w:asciiTheme="minorHAnsi" w:hAnsiTheme="minorHAnsi"/>
        </w:rPr>
        <w:t xml:space="preserve"> and </w:t>
      </w:r>
      <w:r w:rsidR="00383607">
        <w:rPr>
          <w:rFonts w:asciiTheme="minorHAnsi" w:hAnsiTheme="minorHAnsi"/>
          <w:spacing w:val="-1"/>
        </w:rPr>
        <w:t>facilitate</w:t>
      </w:r>
      <w:r w:rsidRPr="00837D1E">
        <w:rPr>
          <w:rFonts w:asciiTheme="minorHAnsi" w:hAnsiTheme="minorHAnsi"/>
        </w:rPr>
        <w:t xml:space="preserve"> care </w:t>
      </w:r>
      <w:r w:rsidRPr="00837D1E">
        <w:rPr>
          <w:rFonts w:asciiTheme="minorHAnsi" w:hAnsiTheme="minorHAnsi"/>
          <w:spacing w:val="-1"/>
        </w:rPr>
        <w:t>management,</w:t>
      </w:r>
      <w:r w:rsidR="002469E8" w:rsidRPr="00837D1E">
        <w:rPr>
          <w:rFonts w:asciiTheme="minorHAnsi" w:hAnsiTheme="minorHAnsi"/>
          <w:spacing w:val="-1"/>
        </w:rPr>
        <w:t xml:space="preserve"> </w:t>
      </w:r>
      <w:r w:rsidR="00837D1E">
        <w:rPr>
          <w:rFonts w:asciiTheme="minorHAnsi" w:hAnsiTheme="minorHAnsi"/>
        </w:rPr>
        <w:t>and used by Medicare to determine payment and measure quality</w:t>
      </w:r>
      <w:r w:rsidRPr="008F100A">
        <w:rPr>
          <w:rFonts w:asciiTheme="minorHAnsi" w:hAnsiTheme="minorHAnsi"/>
        </w:rPr>
        <w:t>.</w:t>
      </w:r>
      <w:r w:rsidRPr="008F100A">
        <w:rPr>
          <w:rFonts w:asciiTheme="minorHAnsi" w:hAnsiTheme="minorHAnsi"/>
          <w:spacing w:val="-1"/>
        </w:rPr>
        <w:t xml:space="preserve"> </w:t>
      </w:r>
      <w:bookmarkEnd w:id="3"/>
      <w:r w:rsidRPr="008F100A">
        <w:rPr>
          <w:rFonts w:asciiTheme="minorHAnsi" w:hAnsiTheme="minorHAnsi"/>
        </w:rPr>
        <w:t xml:space="preserve">However, CAHs are </w:t>
      </w:r>
      <w:r w:rsidRPr="008F100A">
        <w:rPr>
          <w:rFonts w:asciiTheme="minorHAnsi" w:hAnsiTheme="minorHAnsi"/>
          <w:spacing w:val="-1"/>
        </w:rPr>
        <w:t>exempt</w:t>
      </w:r>
      <w:r w:rsidRPr="008F100A">
        <w:rPr>
          <w:rFonts w:asciiTheme="minorHAnsi" w:hAnsiTheme="minorHAnsi"/>
          <w:spacing w:val="1"/>
        </w:rPr>
        <w:t xml:space="preserve"> </w:t>
      </w:r>
      <w:r w:rsidRPr="008F100A">
        <w:rPr>
          <w:rFonts w:asciiTheme="minorHAnsi" w:hAnsiTheme="minorHAnsi"/>
        </w:rPr>
        <w:t>from</w:t>
      </w:r>
      <w:r w:rsidRPr="008F100A">
        <w:rPr>
          <w:rFonts w:asciiTheme="minorHAnsi" w:hAnsiTheme="minorHAnsi"/>
          <w:spacing w:val="-2"/>
        </w:rPr>
        <w:t xml:space="preserve"> </w:t>
      </w:r>
      <w:r w:rsidRPr="008F100A">
        <w:rPr>
          <w:rFonts w:asciiTheme="minorHAnsi" w:hAnsiTheme="minorHAnsi"/>
        </w:rPr>
        <w:t xml:space="preserve">this </w:t>
      </w:r>
      <w:r w:rsidR="00FA0B9F">
        <w:rPr>
          <w:rFonts w:asciiTheme="minorHAnsi" w:hAnsiTheme="minorHAnsi"/>
          <w:spacing w:val="-1"/>
        </w:rPr>
        <w:t xml:space="preserve">requirement. The </w:t>
      </w:r>
      <w:r w:rsidR="00FA0B9F" w:rsidRPr="008F100A">
        <w:rPr>
          <w:rFonts w:asciiTheme="minorHAnsi" w:hAnsiTheme="minorHAnsi"/>
          <w:spacing w:val="-1"/>
        </w:rPr>
        <w:t>lack</w:t>
      </w:r>
      <w:r w:rsidRPr="008F100A">
        <w:rPr>
          <w:rFonts w:asciiTheme="minorHAnsi" w:hAnsiTheme="minorHAnsi"/>
          <w:spacing w:val="-1"/>
        </w:rPr>
        <w:t xml:space="preserve"> of nationally</w:t>
      </w:r>
      <w:r w:rsidRPr="008F100A">
        <w:rPr>
          <w:rFonts w:asciiTheme="minorHAnsi" w:hAnsiTheme="minorHAnsi"/>
          <w:spacing w:val="1"/>
        </w:rPr>
        <w:t xml:space="preserve"> </w:t>
      </w:r>
      <w:r w:rsidRPr="008F100A">
        <w:rPr>
          <w:rFonts w:asciiTheme="minorHAnsi" w:hAnsiTheme="minorHAnsi"/>
          <w:spacing w:val="-1"/>
        </w:rPr>
        <w:t>comparable</w:t>
      </w:r>
      <w:r w:rsidRPr="008F100A">
        <w:rPr>
          <w:rFonts w:asciiTheme="minorHAnsi" w:hAnsiTheme="minorHAnsi"/>
        </w:rPr>
        <w:t xml:space="preserve"> </w:t>
      </w:r>
      <w:r w:rsidR="00436120">
        <w:rPr>
          <w:rFonts w:asciiTheme="minorHAnsi" w:hAnsiTheme="minorHAnsi"/>
        </w:rPr>
        <w:t>swing bed</w:t>
      </w:r>
      <w:r w:rsidRPr="008F100A">
        <w:rPr>
          <w:rFonts w:asciiTheme="minorHAnsi" w:hAnsiTheme="minorHAnsi"/>
          <w:spacing w:val="39"/>
        </w:rPr>
        <w:t xml:space="preserve"> </w:t>
      </w:r>
      <w:r w:rsidRPr="008F100A">
        <w:rPr>
          <w:rFonts w:asciiTheme="minorHAnsi" w:hAnsiTheme="minorHAnsi"/>
        </w:rPr>
        <w:t xml:space="preserve">quality </w:t>
      </w:r>
      <w:r w:rsidRPr="008F100A">
        <w:rPr>
          <w:rFonts w:asciiTheme="minorHAnsi" w:hAnsiTheme="minorHAnsi"/>
          <w:spacing w:val="-1"/>
        </w:rPr>
        <w:t>measure</w:t>
      </w:r>
      <w:r w:rsidRPr="008F100A">
        <w:rPr>
          <w:rFonts w:asciiTheme="minorHAnsi" w:hAnsiTheme="minorHAnsi"/>
        </w:rPr>
        <w:t xml:space="preserve"> data for CAHs creates two </w:t>
      </w:r>
      <w:r w:rsidRPr="008F100A">
        <w:rPr>
          <w:rFonts w:asciiTheme="minorHAnsi" w:hAnsiTheme="minorHAnsi"/>
          <w:spacing w:val="-1"/>
        </w:rPr>
        <w:t xml:space="preserve">problems. </w:t>
      </w:r>
      <w:r w:rsidRPr="008F100A">
        <w:rPr>
          <w:rFonts w:asciiTheme="minorHAnsi" w:hAnsiTheme="minorHAnsi"/>
        </w:rPr>
        <w:t>First,</w:t>
      </w:r>
      <w:r w:rsidRPr="008F100A">
        <w:rPr>
          <w:rFonts w:asciiTheme="minorHAnsi" w:hAnsiTheme="minorHAnsi"/>
          <w:spacing w:val="-1"/>
        </w:rPr>
        <w:t xml:space="preserve"> </w:t>
      </w:r>
      <w:r w:rsidRPr="008F100A">
        <w:rPr>
          <w:rFonts w:asciiTheme="minorHAnsi" w:hAnsiTheme="minorHAnsi"/>
        </w:rPr>
        <w:t>CAHs</w:t>
      </w:r>
      <w:r w:rsidRPr="008F100A">
        <w:rPr>
          <w:rFonts w:asciiTheme="minorHAnsi" w:hAnsiTheme="minorHAnsi"/>
          <w:spacing w:val="-1"/>
        </w:rPr>
        <w:t xml:space="preserve"> </w:t>
      </w:r>
      <w:r w:rsidRPr="008F100A">
        <w:rPr>
          <w:rFonts w:asciiTheme="minorHAnsi" w:hAnsiTheme="minorHAnsi"/>
        </w:rPr>
        <w:t>are</w:t>
      </w:r>
      <w:r w:rsidRPr="008F100A">
        <w:rPr>
          <w:rFonts w:asciiTheme="minorHAnsi" w:hAnsiTheme="minorHAnsi"/>
          <w:spacing w:val="-1"/>
        </w:rPr>
        <w:t xml:space="preserve"> </w:t>
      </w:r>
      <w:r w:rsidRPr="008F100A">
        <w:rPr>
          <w:rFonts w:asciiTheme="minorHAnsi" w:hAnsiTheme="minorHAnsi"/>
        </w:rPr>
        <w:t>not</w:t>
      </w:r>
      <w:r w:rsidRPr="008F100A">
        <w:rPr>
          <w:rFonts w:asciiTheme="minorHAnsi" w:hAnsiTheme="minorHAnsi"/>
          <w:spacing w:val="-1"/>
        </w:rPr>
        <w:t xml:space="preserve"> uniformly </w:t>
      </w:r>
      <w:r w:rsidRPr="008F100A">
        <w:rPr>
          <w:rFonts w:asciiTheme="minorHAnsi" w:hAnsiTheme="minorHAnsi"/>
        </w:rPr>
        <w:t>able</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37"/>
        </w:rPr>
        <w:t xml:space="preserve"> </w:t>
      </w:r>
      <w:r w:rsidRPr="008F100A">
        <w:rPr>
          <w:rFonts w:asciiTheme="minorHAnsi" w:hAnsiTheme="minorHAnsi"/>
          <w:spacing w:val="-1"/>
        </w:rPr>
        <w:t xml:space="preserve">demonstrate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quality</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provided</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1"/>
        </w:rPr>
        <w:t xml:space="preserve"> </w:t>
      </w:r>
      <w:r w:rsidRPr="008F100A">
        <w:rPr>
          <w:rFonts w:asciiTheme="minorHAnsi" w:hAnsiTheme="minorHAnsi"/>
        </w:rPr>
        <w:t>their</w:t>
      </w:r>
      <w:r w:rsidRPr="008F100A">
        <w:rPr>
          <w:rFonts w:asciiTheme="minorHAnsi" w:hAnsiTheme="minorHAnsi"/>
          <w:spacing w:val="-1"/>
        </w:rPr>
        <w:t xml:space="preserve"> </w:t>
      </w:r>
      <w:r w:rsidR="00436120">
        <w:rPr>
          <w:rFonts w:asciiTheme="minorHAnsi" w:hAnsiTheme="minorHAnsi"/>
        </w:rPr>
        <w:t>swing bed</w:t>
      </w:r>
      <w:r w:rsidRPr="008F100A">
        <w:rPr>
          <w:rFonts w:asciiTheme="minorHAnsi" w:hAnsiTheme="minorHAnsi"/>
          <w:spacing w:val="-1"/>
        </w:rPr>
        <w:t xml:space="preserve"> </w:t>
      </w:r>
      <w:r w:rsidRPr="008F100A">
        <w:rPr>
          <w:rFonts w:asciiTheme="minorHAnsi" w:hAnsiTheme="minorHAnsi"/>
        </w:rPr>
        <w:t>patients</w:t>
      </w:r>
      <w:r w:rsidRPr="008F100A">
        <w:rPr>
          <w:rFonts w:asciiTheme="minorHAnsi" w:hAnsiTheme="minorHAnsi"/>
          <w:spacing w:val="-1"/>
        </w:rPr>
        <w:t xml:space="preserve"> </w:t>
      </w:r>
      <w:r w:rsidRPr="008F100A">
        <w:rPr>
          <w:rFonts w:asciiTheme="minorHAnsi" w:hAnsiTheme="minorHAnsi"/>
        </w:rPr>
        <w:t>or</w:t>
      </w:r>
      <w:r w:rsidRPr="008F100A">
        <w:rPr>
          <w:rFonts w:asciiTheme="minorHAnsi" w:hAnsiTheme="minorHAnsi"/>
          <w:spacing w:val="-1"/>
        </w:rPr>
        <w:t xml:space="preserve"> compare </w:t>
      </w:r>
      <w:r w:rsidRPr="008F100A">
        <w:rPr>
          <w:rFonts w:asciiTheme="minorHAnsi" w:hAnsiTheme="minorHAnsi"/>
        </w:rPr>
        <w:t>it</w:t>
      </w:r>
      <w:r w:rsidRPr="008F100A">
        <w:rPr>
          <w:rFonts w:asciiTheme="minorHAnsi" w:hAnsiTheme="minorHAnsi"/>
          <w:spacing w:val="-1"/>
        </w:rPr>
        <w:t xml:space="preserve"> </w:t>
      </w:r>
      <w:r w:rsidRPr="008F100A">
        <w:rPr>
          <w:rFonts w:asciiTheme="minorHAnsi" w:hAnsiTheme="minorHAnsi"/>
        </w:rPr>
        <w:t>to</w:t>
      </w:r>
      <w:r w:rsidRPr="008F100A">
        <w:rPr>
          <w:rFonts w:asciiTheme="minorHAnsi" w:hAnsiTheme="minorHAnsi"/>
          <w:spacing w:val="-1"/>
        </w:rPr>
        <w:t xml:space="preserve"> national</w:t>
      </w:r>
      <w:r w:rsidRPr="008F100A">
        <w:rPr>
          <w:rFonts w:asciiTheme="minorHAnsi" w:hAnsiTheme="minorHAnsi"/>
          <w:spacing w:val="43"/>
        </w:rPr>
        <w:t xml:space="preserve"> </w:t>
      </w:r>
      <w:r w:rsidRPr="008F100A">
        <w:rPr>
          <w:rFonts w:asciiTheme="minorHAnsi" w:hAnsiTheme="minorHAnsi"/>
          <w:spacing w:val="-1"/>
        </w:rPr>
        <w:t xml:space="preserve">benchmarks. </w:t>
      </w:r>
      <w:r w:rsidRPr="008F100A">
        <w:rPr>
          <w:rFonts w:asciiTheme="minorHAnsi" w:hAnsiTheme="minorHAnsi"/>
        </w:rPr>
        <w:t>This</w:t>
      </w:r>
      <w:r w:rsidRPr="008F100A">
        <w:rPr>
          <w:rFonts w:asciiTheme="minorHAnsi" w:hAnsiTheme="minorHAnsi"/>
          <w:spacing w:val="-1"/>
        </w:rPr>
        <w:t xml:space="preserve"> </w:t>
      </w:r>
      <w:r w:rsidRPr="008F100A">
        <w:rPr>
          <w:rFonts w:asciiTheme="minorHAnsi" w:hAnsiTheme="minorHAnsi"/>
        </w:rPr>
        <w:t>leaves</w:t>
      </w:r>
      <w:r w:rsidRPr="008F100A">
        <w:rPr>
          <w:rFonts w:asciiTheme="minorHAnsi" w:hAnsiTheme="minorHAnsi"/>
          <w:spacing w:val="-1"/>
        </w:rPr>
        <w:t xml:space="preserve"> </w:t>
      </w:r>
      <w:r w:rsidRPr="008F100A">
        <w:rPr>
          <w:rFonts w:asciiTheme="minorHAnsi" w:hAnsiTheme="minorHAnsi"/>
        </w:rPr>
        <w:t>CAHs</w:t>
      </w:r>
      <w:r w:rsidRPr="008F100A">
        <w:rPr>
          <w:rFonts w:asciiTheme="minorHAnsi" w:hAnsiTheme="minorHAnsi"/>
          <w:spacing w:val="-1"/>
        </w:rPr>
        <w:t xml:space="preserve"> </w:t>
      </w:r>
      <w:r w:rsidRPr="008F100A">
        <w:rPr>
          <w:rFonts w:asciiTheme="minorHAnsi" w:hAnsiTheme="minorHAnsi"/>
        </w:rPr>
        <w:t xml:space="preserve">vulnerable to </w:t>
      </w:r>
      <w:r w:rsidRPr="008F100A">
        <w:rPr>
          <w:rFonts w:asciiTheme="minorHAnsi" w:hAnsiTheme="minorHAnsi"/>
          <w:spacing w:val="-1"/>
        </w:rPr>
        <w:t>criticisms</w:t>
      </w:r>
      <w:r w:rsidRPr="008F100A">
        <w:rPr>
          <w:rFonts w:asciiTheme="minorHAnsi" w:hAnsiTheme="minorHAnsi"/>
        </w:rPr>
        <w:t xml:space="preserve"> such as those raised by the Office of the</w:t>
      </w:r>
      <w:r w:rsidRPr="008F100A">
        <w:rPr>
          <w:rFonts w:asciiTheme="minorHAnsi" w:hAnsiTheme="minorHAnsi"/>
          <w:spacing w:val="37"/>
        </w:rPr>
        <w:t xml:space="preserve"> </w:t>
      </w:r>
      <w:r w:rsidRPr="008F100A">
        <w:rPr>
          <w:rFonts w:asciiTheme="minorHAnsi" w:hAnsiTheme="minorHAnsi"/>
        </w:rPr>
        <w:t xml:space="preserve">Inspector General, which questioned whether </w:t>
      </w:r>
      <w:r w:rsidRPr="008F100A">
        <w:rPr>
          <w:rFonts w:asciiTheme="minorHAnsi" w:hAnsiTheme="minorHAnsi"/>
          <w:spacing w:val="-1"/>
        </w:rPr>
        <w:t>the</w:t>
      </w:r>
      <w:r w:rsidRPr="008F100A">
        <w:rPr>
          <w:rFonts w:asciiTheme="minorHAnsi" w:hAnsiTheme="minorHAnsi"/>
        </w:rPr>
        <w:t xml:space="preserve"> costs of CAH </w:t>
      </w:r>
      <w:r w:rsidR="00436120">
        <w:rPr>
          <w:rFonts w:asciiTheme="minorHAnsi" w:hAnsiTheme="minorHAnsi"/>
        </w:rPr>
        <w:t>swing bed</w:t>
      </w:r>
      <w:r w:rsidRPr="008F100A">
        <w:rPr>
          <w:rFonts w:asciiTheme="minorHAnsi" w:hAnsiTheme="minorHAnsi"/>
        </w:rPr>
        <w:t xml:space="preserve"> care are too high for</w:t>
      </w:r>
      <w:r w:rsidRPr="008F100A">
        <w:rPr>
          <w:rFonts w:asciiTheme="minorHAnsi" w:hAnsiTheme="minorHAnsi"/>
          <w:spacing w:val="21"/>
        </w:rPr>
        <w:t xml:space="preserve"> </w:t>
      </w:r>
      <w:r w:rsidRPr="008F100A">
        <w:rPr>
          <w:rFonts w:asciiTheme="minorHAnsi" w:hAnsiTheme="minorHAnsi"/>
        </w:rPr>
        <w:t>the</w:t>
      </w:r>
      <w:r w:rsidRPr="008F100A">
        <w:rPr>
          <w:rFonts w:asciiTheme="minorHAnsi" w:hAnsiTheme="minorHAnsi"/>
          <w:spacing w:val="-1"/>
        </w:rPr>
        <w:t xml:space="preserve"> Medicare</w:t>
      </w:r>
      <w:r w:rsidRPr="008F100A">
        <w:rPr>
          <w:rFonts w:asciiTheme="minorHAnsi" w:hAnsiTheme="minorHAnsi"/>
        </w:rPr>
        <w:t xml:space="preserve"> </w:t>
      </w:r>
      <w:r w:rsidRPr="008F100A">
        <w:rPr>
          <w:rFonts w:asciiTheme="minorHAnsi" w:hAnsiTheme="minorHAnsi"/>
          <w:spacing w:val="-1"/>
        </w:rPr>
        <w:t>program.</w:t>
      </w:r>
      <w:r w:rsidRPr="008F100A">
        <w:rPr>
          <w:rFonts w:asciiTheme="minorHAnsi" w:hAnsiTheme="minorHAnsi"/>
          <w:spacing w:val="-1"/>
          <w:position w:val="9"/>
          <w:sz w:val="16"/>
          <w:szCs w:val="16"/>
        </w:rPr>
        <w:t>3</w:t>
      </w:r>
      <w:r w:rsidRPr="008F100A">
        <w:rPr>
          <w:rFonts w:asciiTheme="minorHAnsi" w:hAnsiTheme="minorHAnsi"/>
          <w:spacing w:val="20"/>
          <w:position w:val="9"/>
          <w:sz w:val="16"/>
          <w:szCs w:val="16"/>
        </w:rPr>
        <w:t xml:space="preserve"> </w:t>
      </w:r>
      <w:r w:rsidRPr="008F100A">
        <w:rPr>
          <w:rFonts w:asciiTheme="minorHAnsi" w:hAnsiTheme="minorHAnsi"/>
        </w:rPr>
        <w:t xml:space="preserve">Although the OIG’s </w:t>
      </w:r>
      <w:r w:rsidRPr="008F100A">
        <w:rPr>
          <w:rFonts w:asciiTheme="minorHAnsi" w:hAnsiTheme="minorHAnsi"/>
          <w:spacing w:val="-1"/>
        </w:rPr>
        <w:t>methods</w:t>
      </w:r>
      <w:r w:rsidRPr="008F100A">
        <w:rPr>
          <w:rFonts w:asciiTheme="minorHAnsi" w:hAnsiTheme="minorHAnsi"/>
        </w:rPr>
        <w:t xml:space="preserve"> have</w:t>
      </w:r>
      <w:r w:rsidRPr="008F100A">
        <w:rPr>
          <w:rFonts w:asciiTheme="minorHAnsi" w:hAnsiTheme="minorHAnsi"/>
          <w:spacing w:val="-1"/>
        </w:rPr>
        <w:t xml:space="preserve"> </w:t>
      </w:r>
      <w:r w:rsidRPr="008F100A">
        <w:rPr>
          <w:rFonts w:asciiTheme="minorHAnsi" w:hAnsiTheme="minorHAnsi"/>
        </w:rPr>
        <w:t xml:space="preserve">been </w:t>
      </w:r>
      <w:r w:rsidRPr="008F100A">
        <w:rPr>
          <w:rFonts w:asciiTheme="minorHAnsi" w:hAnsiTheme="minorHAnsi"/>
          <w:spacing w:val="-1"/>
        </w:rPr>
        <w:t>criticized,</w:t>
      </w:r>
      <w:r w:rsidRPr="008F100A">
        <w:rPr>
          <w:rFonts w:asciiTheme="minorHAnsi" w:hAnsiTheme="minorHAnsi"/>
          <w:spacing w:val="-1"/>
          <w:position w:val="9"/>
          <w:sz w:val="16"/>
          <w:szCs w:val="16"/>
        </w:rPr>
        <w:t>4</w:t>
      </w:r>
      <w:r w:rsidRPr="008F100A">
        <w:rPr>
          <w:rFonts w:asciiTheme="minorHAnsi" w:hAnsiTheme="minorHAnsi"/>
          <w:spacing w:val="20"/>
          <w:position w:val="9"/>
          <w:sz w:val="16"/>
          <w:szCs w:val="16"/>
        </w:rPr>
        <w:t xml:space="preserve"> </w:t>
      </w:r>
      <w:r w:rsidRPr="008F100A">
        <w:rPr>
          <w:rFonts w:asciiTheme="minorHAnsi" w:hAnsiTheme="minorHAnsi"/>
        </w:rPr>
        <w:t xml:space="preserve">the </w:t>
      </w:r>
      <w:r w:rsidRPr="008F100A">
        <w:rPr>
          <w:rFonts w:asciiTheme="minorHAnsi" w:hAnsiTheme="minorHAnsi"/>
          <w:spacing w:val="-1"/>
        </w:rPr>
        <w:t>Medicare</w:t>
      </w:r>
      <w:r w:rsidR="00315850" w:rsidRPr="008F100A">
        <w:rPr>
          <w:rFonts w:asciiTheme="minorHAnsi" w:hAnsiTheme="minorHAnsi"/>
          <w:spacing w:val="-1"/>
        </w:rPr>
        <w:t xml:space="preserve"> </w:t>
      </w:r>
      <w:r w:rsidRPr="008F100A">
        <w:rPr>
          <w:rFonts w:asciiTheme="minorHAnsi" w:hAnsiTheme="minorHAnsi"/>
        </w:rPr>
        <w:t>program</w:t>
      </w:r>
      <w:r w:rsidRPr="008F100A">
        <w:rPr>
          <w:rFonts w:asciiTheme="minorHAnsi" w:hAnsiTheme="minorHAnsi"/>
          <w:spacing w:val="-2"/>
        </w:rPr>
        <w:t xml:space="preserve"> </w:t>
      </w:r>
      <w:r w:rsidRPr="008F100A">
        <w:rPr>
          <w:rFonts w:asciiTheme="minorHAnsi" w:hAnsiTheme="minorHAnsi"/>
        </w:rPr>
        <w:t>is responsible for ensuring that beneficiaries</w:t>
      </w:r>
      <w:r w:rsidRPr="008F100A">
        <w:rPr>
          <w:rFonts w:asciiTheme="minorHAnsi" w:hAnsiTheme="minorHAnsi"/>
          <w:spacing w:val="-1"/>
        </w:rPr>
        <w:t xml:space="preserve"> </w:t>
      </w:r>
      <w:r w:rsidRPr="008F100A">
        <w:rPr>
          <w:rFonts w:asciiTheme="minorHAnsi" w:hAnsiTheme="minorHAnsi"/>
        </w:rPr>
        <w:t>are</w:t>
      </w:r>
      <w:r w:rsidRPr="008F100A">
        <w:rPr>
          <w:rFonts w:asciiTheme="minorHAnsi" w:hAnsiTheme="minorHAnsi"/>
          <w:spacing w:val="-1"/>
        </w:rPr>
        <w:t xml:space="preserve"> </w:t>
      </w:r>
      <w:r w:rsidRPr="008F100A">
        <w:rPr>
          <w:rFonts w:asciiTheme="minorHAnsi" w:hAnsiTheme="minorHAnsi"/>
        </w:rPr>
        <w:t>receiving</w:t>
      </w:r>
      <w:r w:rsidRPr="008F100A">
        <w:rPr>
          <w:rFonts w:asciiTheme="minorHAnsi" w:hAnsiTheme="minorHAnsi"/>
          <w:spacing w:val="-1"/>
        </w:rPr>
        <w:t xml:space="preserve"> </w:t>
      </w:r>
      <w:r w:rsidRPr="008F100A">
        <w:rPr>
          <w:rFonts w:asciiTheme="minorHAnsi" w:hAnsiTheme="minorHAnsi"/>
        </w:rPr>
        <w:t>high</w:t>
      </w:r>
      <w:r w:rsidRPr="008F100A">
        <w:rPr>
          <w:rFonts w:asciiTheme="minorHAnsi" w:hAnsiTheme="minorHAnsi"/>
          <w:spacing w:val="-1"/>
        </w:rPr>
        <w:t xml:space="preserve"> </w:t>
      </w:r>
      <w:r w:rsidRPr="008F100A">
        <w:rPr>
          <w:rFonts w:asciiTheme="minorHAnsi" w:hAnsiTheme="minorHAnsi"/>
        </w:rPr>
        <w:t>value</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so</w:t>
      </w:r>
      <w:r w:rsidRPr="008F100A">
        <w:rPr>
          <w:rFonts w:asciiTheme="minorHAnsi" w:hAnsiTheme="minorHAnsi"/>
          <w:spacing w:val="-1"/>
        </w:rPr>
        <w:t xml:space="preserve"> </w:t>
      </w:r>
      <w:r w:rsidRPr="008F100A">
        <w:rPr>
          <w:rFonts w:asciiTheme="minorHAnsi" w:hAnsiTheme="minorHAnsi"/>
        </w:rPr>
        <w:t>the quality</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being</w:t>
      </w:r>
      <w:r w:rsidRPr="008F100A">
        <w:rPr>
          <w:rFonts w:asciiTheme="minorHAnsi" w:hAnsiTheme="minorHAnsi"/>
          <w:spacing w:val="-1"/>
        </w:rPr>
        <w:t xml:space="preserve"> </w:t>
      </w:r>
      <w:r w:rsidRPr="008F100A">
        <w:rPr>
          <w:rFonts w:asciiTheme="minorHAnsi" w:hAnsiTheme="minorHAnsi"/>
        </w:rPr>
        <w:t>provided</w:t>
      </w:r>
      <w:r w:rsidRPr="008F100A">
        <w:rPr>
          <w:rFonts w:asciiTheme="minorHAnsi" w:hAnsiTheme="minorHAnsi"/>
          <w:spacing w:val="-1"/>
        </w:rPr>
        <w:t xml:space="preserve"> in CAH </w:t>
      </w:r>
      <w:r w:rsidR="00436120">
        <w:rPr>
          <w:rFonts w:asciiTheme="minorHAnsi" w:hAnsiTheme="minorHAnsi"/>
          <w:spacing w:val="-1"/>
        </w:rPr>
        <w:t>swing bed</w:t>
      </w:r>
      <w:r w:rsidRPr="008F100A">
        <w:rPr>
          <w:rFonts w:asciiTheme="minorHAnsi" w:hAnsiTheme="minorHAnsi"/>
          <w:spacing w:val="-1"/>
        </w:rPr>
        <w:t xml:space="preserve">s is an </w:t>
      </w:r>
      <w:r w:rsidRPr="008F100A">
        <w:rPr>
          <w:rFonts w:asciiTheme="minorHAnsi" w:hAnsiTheme="minorHAnsi"/>
        </w:rPr>
        <w:t>important Medicare policy issue.</w:t>
      </w:r>
    </w:p>
    <w:p w14:paraId="1758ADFD" w14:textId="77777777" w:rsidR="00092D69" w:rsidRPr="008F100A" w:rsidRDefault="00092D69" w:rsidP="003916D5">
      <w:pPr>
        <w:pStyle w:val="BodyText"/>
        <w:spacing w:line="480" w:lineRule="auto"/>
        <w:ind w:left="0" w:right="143"/>
        <w:rPr>
          <w:rFonts w:asciiTheme="minorHAnsi" w:hAnsiTheme="minorHAnsi"/>
        </w:rPr>
      </w:pPr>
    </w:p>
    <w:p w14:paraId="40176E12" w14:textId="293F3F63" w:rsidR="00092D69" w:rsidRPr="008F100A" w:rsidRDefault="00092D69" w:rsidP="003916D5">
      <w:pPr>
        <w:pStyle w:val="BodyText"/>
        <w:spacing w:line="480" w:lineRule="auto"/>
        <w:ind w:left="0" w:right="143"/>
        <w:rPr>
          <w:rFonts w:asciiTheme="minorHAnsi" w:hAnsiTheme="minorHAnsi"/>
        </w:rPr>
      </w:pPr>
      <w:r w:rsidRPr="008F100A">
        <w:rPr>
          <w:rFonts w:asciiTheme="minorHAnsi" w:hAnsiTheme="minorHAnsi"/>
        </w:rPr>
        <w:t>Second,</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lack</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quality</w:t>
      </w:r>
      <w:r w:rsidRPr="008F100A">
        <w:rPr>
          <w:rFonts w:asciiTheme="minorHAnsi" w:hAnsiTheme="minorHAnsi"/>
          <w:spacing w:val="-1"/>
        </w:rPr>
        <w:t xml:space="preserve"> </w:t>
      </w:r>
      <w:r w:rsidRPr="008F100A">
        <w:rPr>
          <w:rFonts w:asciiTheme="minorHAnsi" w:hAnsiTheme="minorHAnsi"/>
        </w:rPr>
        <w:t>data for</w:t>
      </w:r>
      <w:r w:rsidRPr="008F100A">
        <w:rPr>
          <w:rFonts w:asciiTheme="minorHAnsi" w:hAnsiTheme="minorHAnsi"/>
          <w:spacing w:val="-1"/>
        </w:rPr>
        <w:t xml:space="preserve"> </w:t>
      </w:r>
      <w:r w:rsidRPr="008F100A">
        <w:rPr>
          <w:rFonts w:asciiTheme="minorHAnsi" w:hAnsiTheme="minorHAnsi"/>
        </w:rPr>
        <w:t>their</w:t>
      </w:r>
      <w:r w:rsidRPr="008F100A">
        <w:rPr>
          <w:rFonts w:asciiTheme="minorHAnsi" w:hAnsiTheme="minorHAnsi"/>
          <w:spacing w:val="-1"/>
        </w:rPr>
        <w:t xml:space="preserve"> </w:t>
      </w:r>
      <w:r w:rsidR="00436120">
        <w:rPr>
          <w:rFonts w:asciiTheme="minorHAnsi" w:hAnsiTheme="minorHAnsi"/>
          <w:spacing w:val="-1"/>
        </w:rPr>
        <w:t>swing bed</w:t>
      </w:r>
      <w:r w:rsidRPr="008F100A">
        <w:rPr>
          <w:rFonts w:asciiTheme="minorHAnsi" w:hAnsiTheme="minorHAnsi"/>
          <w:spacing w:val="-1"/>
        </w:rPr>
        <w:t xml:space="preserve"> </w:t>
      </w:r>
      <w:r w:rsidRPr="008F100A">
        <w:rPr>
          <w:rFonts w:asciiTheme="minorHAnsi" w:hAnsiTheme="minorHAnsi"/>
        </w:rPr>
        <w:t>services</w:t>
      </w:r>
      <w:r w:rsidRPr="008F100A">
        <w:rPr>
          <w:rFonts w:asciiTheme="minorHAnsi" w:hAnsiTheme="minorHAnsi"/>
          <w:spacing w:val="-1"/>
        </w:rPr>
        <w:t xml:space="preserve"> limits</w:t>
      </w:r>
      <w:r w:rsidRPr="008F100A">
        <w:rPr>
          <w:rFonts w:asciiTheme="minorHAnsi" w:hAnsiTheme="minorHAnsi"/>
        </w:rPr>
        <w:t xml:space="preserve"> the ability of CAHs to</w:t>
      </w:r>
      <w:r w:rsidRPr="008F100A">
        <w:rPr>
          <w:rFonts w:asciiTheme="minorHAnsi" w:hAnsiTheme="minorHAnsi"/>
          <w:spacing w:val="30"/>
        </w:rPr>
        <w:t xml:space="preserve"> </w:t>
      </w:r>
      <w:r w:rsidRPr="008F100A">
        <w:rPr>
          <w:rFonts w:asciiTheme="minorHAnsi" w:hAnsiTheme="minorHAnsi"/>
          <w:spacing w:val="-1"/>
        </w:rPr>
        <w:t>participate</w:t>
      </w:r>
      <w:r w:rsidRPr="008F100A">
        <w:rPr>
          <w:rFonts w:asciiTheme="minorHAnsi" w:hAnsiTheme="minorHAnsi"/>
        </w:rPr>
        <w:t xml:space="preserve"> in </w:t>
      </w:r>
      <w:r w:rsidRPr="008F100A">
        <w:rPr>
          <w:rFonts w:asciiTheme="minorHAnsi" w:hAnsiTheme="minorHAnsi"/>
          <w:spacing w:val="-1"/>
        </w:rPr>
        <w:t>alternative payment</w:t>
      </w:r>
      <w:r w:rsidRPr="008F100A">
        <w:rPr>
          <w:rFonts w:asciiTheme="minorHAnsi" w:hAnsiTheme="minorHAnsi"/>
        </w:rPr>
        <w:t xml:space="preserve"> models </w:t>
      </w:r>
      <w:r w:rsidRPr="008F100A">
        <w:rPr>
          <w:rFonts w:asciiTheme="minorHAnsi" w:hAnsiTheme="minorHAnsi"/>
          <w:spacing w:val="-1"/>
        </w:rPr>
        <w:t xml:space="preserve">involving post-acute care. For example, </w:t>
      </w:r>
      <w:r w:rsidRPr="008F100A">
        <w:rPr>
          <w:rFonts w:asciiTheme="minorHAnsi" w:hAnsiTheme="minorHAnsi"/>
        </w:rPr>
        <w:t>in</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0029528C" w:rsidRPr="0029528C">
        <w:rPr>
          <w:rFonts w:asciiTheme="minorHAnsi" w:hAnsiTheme="minorHAnsi"/>
        </w:rPr>
        <w:t xml:space="preserve">CMS Bundled Payments </w:t>
      </w:r>
      <w:r w:rsidRPr="008F100A">
        <w:rPr>
          <w:rFonts w:asciiTheme="minorHAnsi" w:hAnsiTheme="minorHAnsi"/>
        </w:rPr>
        <w:t xml:space="preserve">for Care </w:t>
      </w:r>
      <w:r w:rsidRPr="008F100A">
        <w:rPr>
          <w:rFonts w:asciiTheme="minorHAnsi" w:hAnsiTheme="minorHAnsi"/>
          <w:spacing w:val="-1"/>
        </w:rPr>
        <w:t>Improvement</w:t>
      </w:r>
      <w:r w:rsidRPr="008F100A">
        <w:rPr>
          <w:rFonts w:asciiTheme="minorHAnsi" w:hAnsiTheme="minorHAnsi"/>
        </w:rPr>
        <w:t xml:space="preserve"> Initiative</w:t>
      </w:r>
      <w:r w:rsidR="006D0E47">
        <w:rPr>
          <w:rFonts w:asciiTheme="minorHAnsi" w:hAnsiTheme="minorHAnsi"/>
        </w:rPr>
        <w:t xml:space="preserve">, which </w:t>
      </w:r>
      <w:r w:rsidRPr="008F100A">
        <w:rPr>
          <w:rFonts w:asciiTheme="minorHAnsi" w:hAnsiTheme="minorHAnsi"/>
        </w:rPr>
        <w:t>link</w:t>
      </w:r>
      <w:r w:rsidR="00DD5394">
        <w:rPr>
          <w:rFonts w:asciiTheme="minorHAnsi" w:hAnsiTheme="minorHAnsi"/>
        </w:rPr>
        <w:t>ed</w:t>
      </w:r>
      <w:r w:rsidRPr="008F100A">
        <w:rPr>
          <w:rFonts w:asciiTheme="minorHAnsi" w:hAnsiTheme="minorHAnsi"/>
        </w:rPr>
        <w:t xml:space="preserve"> </w:t>
      </w:r>
      <w:r w:rsidRPr="008F100A">
        <w:rPr>
          <w:rFonts w:asciiTheme="minorHAnsi" w:hAnsiTheme="minorHAnsi"/>
          <w:spacing w:val="-1"/>
        </w:rPr>
        <w:t>payments</w:t>
      </w:r>
      <w:r w:rsidRPr="008F100A">
        <w:rPr>
          <w:rFonts w:asciiTheme="minorHAnsi" w:hAnsiTheme="minorHAnsi"/>
        </w:rPr>
        <w:t xml:space="preserve"> for </w:t>
      </w:r>
      <w:r w:rsidRPr="008F100A">
        <w:rPr>
          <w:rFonts w:asciiTheme="minorHAnsi" w:hAnsiTheme="minorHAnsi"/>
          <w:spacing w:val="-1"/>
        </w:rPr>
        <w:t>acute</w:t>
      </w:r>
      <w:r w:rsidR="002469E8">
        <w:rPr>
          <w:rFonts w:asciiTheme="minorHAnsi" w:hAnsiTheme="minorHAnsi"/>
          <w:spacing w:val="-1"/>
        </w:rPr>
        <w:t xml:space="preserve"> </w:t>
      </w:r>
      <w:r w:rsidRPr="008F100A">
        <w:rPr>
          <w:rFonts w:asciiTheme="minorHAnsi" w:hAnsiTheme="minorHAnsi"/>
        </w:rPr>
        <w:t xml:space="preserve">and post-acute services </w:t>
      </w:r>
      <w:r w:rsidRPr="008F100A">
        <w:rPr>
          <w:rFonts w:asciiTheme="minorHAnsi" w:hAnsiTheme="minorHAnsi"/>
          <w:spacing w:val="-1"/>
        </w:rPr>
        <w:t>receive</w:t>
      </w:r>
      <w:r w:rsidR="006D0E47">
        <w:rPr>
          <w:rFonts w:asciiTheme="minorHAnsi" w:hAnsiTheme="minorHAnsi"/>
          <w:spacing w:val="-1"/>
        </w:rPr>
        <w:t>d</w:t>
      </w:r>
      <w:r w:rsidRPr="008F100A">
        <w:rPr>
          <w:rFonts w:asciiTheme="minorHAnsi" w:hAnsiTheme="minorHAnsi"/>
          <w:spacing w:val="-1"/>
        </w:rPr>
        <w:t xml:space="preserve"> during </w:t>
      </w:r>
      <w:r w:rsidRPr="008F100A">
        <w:rPr>
          <w:rFonts w:asciiTheme="minorHAnsi" w:hAnsiTheme="minorHAnsi"/>
          <w:spacing w:val="-1"/>
        </w:rPr>
        <w:lastRenderedPageBreak/>
        <w:t xml:space="preserve">an </w:t>
      </w:r>
      <w:r w:rsidRPr="008F100A">
        <w:rPr>
          <w:rFonts w:asciiTheme="minorHAnsi" w:hAnsiTheme="minorHAnsi"/>
        </w:rPr>
        <w:t>episode of care</w:t>
      </w:r>
      <w:r w:rsidR="006D0E47">
        <w:rPr>
          <w:rFonts w:asciiTheme="minorHAnsi" w:hAnsiTheme="minorHAnsi"/>
        </w:rPr>
        <w:t xml:space="preserve">, </w:t>
      </w:r>
      <w:r w:rsidRPr="008F100A">
        <w:rPr>
          <w:rFonts w:asciiTheme="minorHAnsi" w:hAnsiTheme="minorHAnsi"/>
        </w:rPr>
        <w:t>the</w:t>
      </w:r>
      <w:r w:rsidRPr="008F100A">
        <w:rPr>
          <w:rFonts w:asciiTheme="minorHAnsi" w:hAnsiTheme="minorHAnsi"/>
          <w:spacing w:val="26"/>
        </w:rPr>
        <w:t xml:space="preserve"> </w:t>
      </w:r>
      <w:r w:rsidRPr="008F100A">
        <w:rPr>
          <w:rFonts w:asciiTheme="minorHAnsi" w:hAnsiTheme="minorHAnsi"/>
          <w:spacing w:val="-1"/>
        </w:rPr>
        <w:t>majority</w:t>
      </w:r>
      <w:r w:rsidRPr="008F100A">
        <w:rPr>
          <w:rFonts w:asciiTheme="minorHAnsi" w:hAnsiTheme="minorHAnsi"/>
        </w:rPr>
        <w:t xml:space="preserve"> of the partner network for an </w:t>
      </w:r>
      <w:r w:rsidRPr="008F100A">
        <w:rPr>
          <w:rFonts w:asciiTheme="minorHAnsi" w:hAnsiTheme="minorHAnsi"/>
          <w:spacing w:val="-1"/>
        </w:rPr>
        <w:t>organization</w:t>
      </w:r>
      <w:r w:rsidRPr="008F100A">
        <w:rPr>
          <w:rFonts w:asciiTheme="minorHAnsi" w:hAnsiTheme="minorHAnsi"/>
        </w:rPr>
        <w:t xml:space="preserve"> with </w:t>
      </w:r>
      <w:r w:rsidRPr="00837D1E">
        <w:rPr>
          <w:rFonts w:asciiTheme="minorHAnsi" w:hAnsiTheme="minorHAnsi"/>
        </w:rPr>
        <w:t xml:space="preserve">a </w:t>
      </w:r>
      <w:bookmarkStart w:id="4" w:name="_Hlk24990219"/>
      <w:r w:rsidRPr="00837D1E">
        <w:rPr>
          <w:rFonts w:asciiTheme="minorHAnsi" w:hAnsiTheme="minorHAnsi"/>
        </w:rPr>
        <w:t xml:space="preserve">Model 2 award </w:t>
      </w:r>
      <w:bookmarkEnd w:id="4"/>
      <w:r w:rsidR="006D0E47" w:rsidRPr="00837D1E">
        <w:rPr>
          <w:rFonts w:asciiTheme="minorHAnsi" w:hAnsiTheme="minorHAnsi"/>
        </w:rPr>
        <w:t>had</w:t>
      </w:r>
      <w:r w:rsidR="006D0E47">
        <w:rPr>
          <w:rFonts w:asciiTheme="minorHAnsi" w:hAnsiTheme="minorHAnsi"/>
        </w:rPr>
        <w:t xml:space="preserve"> to </w:t>
      </w:r>
      <w:r w:rsidRPr="008F100A">
        <w:rPr>
          <w:rFonts w:asciiTheme="minorHAnsi" w:hAnsiTheme="minorHAnsi"/>
        </w:rPr>
        <w:t>consist of SNFs</w:t>
      </w:r>
      <w:r w:rsidRPr="008F100A">
        <w:rPr>
          <w:rFonts w:asciiTheme="minorHAnsi" w:hAnsiTheme="minorHAnsi"/>
          <w:spacing w:val="39"/>
        </w:rPr>
        <w:t xml:space="preserve"> </w:t>
      </w:r>
      <w:r w:rsidRPr="008F100A">
        <w:rPr>
          <w:rFonts w:asciiTheme="minorHAnsi" w:hAnsiTheme="minorHAnsi"/>
        </w:rPr>
        <w:t>rated</w:t>
      </w:r>
      <w:r w:rsidRPr="008F100A">
        <w:rPr>
          <w:rFonts w:asciiTheme="minorHAnsi" w:hAnsiTheme="minorHAnsi"/>
          <w:spacing w:val="-1"/>
        </w:rPr>
        <w:t xml:space="preserve"> </w:t>
      </w:r>
      <w:r w:rsidRPr="008F100A">
        <w:rPr>
          <w:rFonts w:asciiTheme="minorHAnsi" w:hAnsiTheme="minorHAnsi"/>
        </w:rPr>
        <w:t>3</w:t>
      </w:r>
      <w:r w:rsidRPr="008F100A">
        <w:rPr>
          <w:rFonts w:asciiTheme="minorHAnsi" w:hAnsiTheme="minorHAnsi"/>
          <w:spacing w:val="-1"/>
        </w:rPr>
        <w:t xml:space="preserve"> </w:t>
      </w:r>
      <w:r w:rsidRPr="008F100A">
        <w:rPr>
          <w:rFonts w:asciiTheme="minorHAnsi" w:hAnsiTheme="minorHAnsi"/>
        </w:rPr>
        <w:t>stars</w:t>
      </w:r>
      <w:r w:rsidRPr="008F100A">
        <w:rPr>
          <w:rFonts w:asciiTheme="minorHAnsi" w:hAnsiTheme="minorHAnsi"/>
          <w:spacing w:val="-1"/>
        </w:rPr>
        <w:t xml:space="preserve"> </w:t>
      </w:r>
      <w:r w:rsidRPr="008F100A">
        <w:rPr>
          <w:rFonts w:asciiTheme="minorHAnsi" w:hAnsiTheme="minorHAnsi"/>
        </w:rPr>
        <w:t>or</w:t>
      </w:r>
      <w:r w:rsidRPr="008F100A">
        <w:rPr>
          <w:rFonts w:asciiTheme="minorHAnsi" w:hAnsiTheme="minorHAnsi"/>
          <w:spacing w:val="-1"/>
        </w:rPr>
        <w:t xml:space="preserve"> </w:t>
      </w:r>
      <w:r w:rsidRPr="008F100A">
        <w:rPr>
          <w:rFonts w:asciiTheme="minorHAnsi" w:hAnsiTheme="minorHAnsi"/>
        </w:rPr>
        <w:t>better</w:t>
      </w:r>
      <w:r w:rsidRPr="008F100A">
        <w:rPr>
          <w:rFonts w:asciiTheme="minorHAnsi" w:hAnsiTheme="minorHAnsi"/>
          <w:spacing w:val="-1"/>
        </w:rPr>
        <w:t xml:space="preserve"> </w:t>
      </w:r>
      <w:r w:rsidRPr="008F100A">
        <w:rPr>
          <w:rFonts w:asciiTheme="minorHAnsi" w:hAnsiTheme="minorHAnsi"/>
        </w:rPr>
        <w:t>under</w:t>
      </w:r>
      <w:r w:rsidRPr="008F100A">
        <w:rPr>
          <w:rFonts w:asciiTheme="minorHAnsi" w:hAnsiTheme="minorHAnsi"/>
          <w:spacing w:val="-1"/>
        </w:rPr>
        <w:t xml:space="preserve"> the</w:t>
      </w:r>
      <w:r w:rsidRPr="008F100A">
        <w:rPr>
          <w:rFonts w:asciiTheme="minorHAnsi" w:hAnsiTheme="minorHAnsi"/>
        </w:rPr>
        <w:t xml:space="preserve"> </w:t>
      </w:r>
      <w:r w:rsidRPr="008F100A">
        <w:rPr>
          <w:rFonts w:asciiTheme="minorHAnsi" w:hAnsiTheme="minorHAnsi"/>
          <w:spacing w:val="-1"/>
        </w:rPr>
        <w:t>5-star</w:t>
      </w:r>
      <w:r w:rsidRPr="008F100A">
        <w:rPr>
          <w:rFonts w:asciiTheme="minorHAnsi" w:hAnsiTheme="minorHAnsi"/>
        </w:rPr>
        <w:t xml:space="preserve"> Nursing </w:t>
      </w:r>
      <w:r w:rsidRPr="008F100A">
        <w:rPr>
          <w:rFonts w:asciiTheme="minorHAnsi" w:hAnsiTheme="minorHAnsi"/>
          <w:spacing w:val="-1"/>
        </w:rPr>
        <w:t>Home</w:t>
      </w:r>
      <w:r w:rsidRPr="008F100A">
        <w:rPr>
          <w:rFonts w:asciiTheme="minorHAnsi" w:hAnsiTheme="minorHAnsi"/>
        </w:rPr>
        <w:t xml:space="preserve"> </w:t>
      </w:r>
      <w:r w:rsidRPr="008F100A">
        <w:rPr>
          <w:rFonts w:asciiTheme="minorHAnsi" w:hAnsiTheme="minorHAnsi"/>
          <w:spacing w:val="-1"/>
        </w:rPr>
        <w:t>Compare</w:t>
      </w:r>
      <w:r w:rsidRPr="008F100A">
        <w:rPr>
          <w:rFonts w:asciiTheme="minorHAnsi" w:hAnsiTheme="minorHAnsi"/>
        </w:rPr>
        <w:t xml:space="preserve"> rating system</w:t>
      </w:r>
      <w:r w:rsidR="006D0E47">
        <w:rPr>
          <w:rFonts w:asciiTheme="minorHAnsi" w:hAnsiTheme="minorHAnsi"/>
        </w:rPr>
        <w:t>, in order</w:t>
      </w:r>
      <w:r w:rsidRPr="008F100A">
        <w:rPr>
          <w:rFonts w:asciiTheme="minorHAnsi" w:hAnsiTheme="minorHAnsi"/>
          <w:spacing w:val="-2"/>
        </w:rPr>
        <w:t xml:space="preserve"> </w:t>
      </w:r>
      <w:r w:rsidRPr="008F100A">
        <w:rPr>
          <w:rFonts w:asciiTheme="minorHAnsi" w:hAnsiTheme="minorHAnsi"/>
        </w:rPr>
        <w:t>to qualify</w:t>
      </w:r>
      <w:r w:rsidRPr="008F100A">
        <w:rPr>
          <w:rFonts w:asciiTheme="minorHAnsi" w:hAnsiTheme="minorHAnsi"/>
          <w:spacing w:val="29"/>
        </w:rPr>
        <w:t xml:space="preserve"> </w:t>
      </w:r>
      <w:r w:rsidRPr="008F100A">
        <w:rPr>
          <w:rFonts w:asciiTheme="minorHAnsi" w:hAnsiTheme="minorHAnsi"/>
        </w:rPr>
        <w:t>for</w:t>
      </w:r>
      <w:r w:rsidRPr="008F100A">
        <w:rPr>
          <w:rFonts w:asciiTheme="minorHAnsi" w:hAnsiTheme="minorHAnsi"/>
          <w:spacing w:val="-1"/>
        </w:rPr>
        <w:t xml:space="preserve"> </w:t>
      </w:r>
      <w:r w:rsidRPr="008F100A">
        <w:rPr>
          <w:rFonts w:asciiTheme="minorHAnsi" w:hAnsiTheme="minorHAnsi"/>
        </w:rPr>
        <w:t>a</w:t>
      </w:r>
      <w:r w:rsidRPr="008F100A">
        <w:rPr>
          <w:rFonts w:asciiTheme="minorHAnsi" w:hAnsiTheme="minorHAnsi"/>
          <w:spacing w:val="-1"/>
        </w:rPr>
        <w:t xml:space="preserve"> </w:t>
      </w:r>
      <w:r w:rsidRPr="008F100A">
        <w:rPr>
          <w:rFonts w:asciiTheme="minorHAnsi" w:hAnsiTheme="minorHAnsi"/>
        </w:rPr>
        <w:t>waiver</w:t>
      </w:r>
      <w:r w:rsidRPr="008F100A">
        <w:rPr>
          <w:rFonts w:asciiTheme="minorHAnsi" w:hAnsiTheme="minorHAnsi"/>
          <w:spacing w:val="-1"/>
        </w:rPr>
        <w:t xml:space="preserve"> </w:t>
      </w:r>
      <w:r w:rsidRPr="008F100A">
        <w:rPr>
          <w:rFonts w:asciiTheme="minorHAnsi" w:hAnsiTheme="minorHAnsi"/>
        </w:rPr>
        <w:t>of</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Pr="008F100A">
        <w:rPr>
          <w:rFonts w:asciiTheme="minorHAnsi" w:hAnsiTheme="minorHAnsi"/>
        </w:rPr>
        <w:t>3-day</w:t>
      </w:r>
      <w:r w:rsidRPr="008F100A">
        <w:rPr>
          <w:rFonts w:asciiTheme="minorHAnsi" w:hAnsiTheme="minorHAnsi"/>
          <w:spacing w:val="-1"/>
        </w:rPr>
        <w:t xml:space="preserve"> </w:t>
      </w:r>
      <w:r w:rsidRPr="008F100A">
        <w:rPr>
          <w:rFonts w:asciiTheme="minorHAnsi" w:hAnsiTheme="minorHAnsi"/>
        </w:rPr>
        <w:t>hospital</w:t>
      </w:r>
      <w:r w:rsidRPr="008F100A">
        <w:rPr>
          <w:rFonts w:asciiTheme="minorHAnsi" w:hAnsiTheme="minorHAnsi"/>
          <w:spacing w:val="-1"/>
        </w:rPr>
        <w:t xml:space="preserve"> </w:t>
      </w:r>
      <w:r w:rsidRPr="008F100A">
        <w:rPr>
          <w:rFonts w:asciiTheme="minorHAnsi" w:hAnsiTheme="minorHAnsi"/>
        </w:rPr>
        <w:t>inpatient</w:t>
      </w:r>
      <w:r w:rsidRPr="008F100A">
        <w:rPr>
          <w:rFonts w:asciiTheme="minorHAnsi" w:hAnsiTheme="minorHAnsi"/>
          <w:spacing w:val="-1"/>
        </w:rPr>
        <w:t xml:space="preserve"> requirement</w:t>
      </w:r>
      <w:r w:rsidRPr="008F100A">
        <w:rPr>
          <w:rFonts w:asciiTheme="minorHAnsi" w:hAnsiTheme="minorHAnsi"/>
        </w:rPr>
        <w:t xml:space="preserve"> for </w:t>
      </w:r>
      <w:r w:rsidRPr="008F100A">
        <w:rPr>
          <w:rFonts w:asciiTheme="minorHAnsi" w:hAnsiTheme="minorHAnsi"/>
          <w:spacing w:val="-1"/>
        </w:rPr>
        <w:t xml:space="preserve">beneficiaries </w:t>
      </w:r>
      <w:r w:rsidRPr="008F100A">
        <w:rPr>
          <w:rFonts w:asciiTheme="minorHAnsi" w:hAnsiTheme="minorHAnsi"/>
        </w:rPr>
        <w:t>to</w:t>
      </w:r>
      <w:r w:rsidRPr="008F100A">
        <w:rPr>
          <w:rFonts w:asciiTheme="minorHAnsi" w:hAnsiTheme="minorHAnsi"/>
          <w:spacing w:val="-1"/>
        </w:rPr>
        <w:t xml:space="preserve"> </w:t>
      </w:r>
      <w:r w:rsidRPr="008F100A">
        <w:rPr>
          <w:rFonts w:asciiTheme="minorHAnsi" w:hAnsiTheme="minorHAnsi"/>
        </w:rPr>
        <w:t>receive</w:t>
      </w:r>
      <w:r w:rsidRPr="008F100A">
        <w:rPr>
          <w:rFonts w:asciiTheme="minorHAnsi" w:hAnsiTheme="minorHAnsi"/>
          <w:spacing w:val="-1"/>
        </w:rPr>
        <w:t xml:space="preserve"> Medicare-</w:t>
      </w:r>
      <w:r w:rsidRPr="008F100A">
        <w:rPr>
          <w:rFonts w:asciiTheme="minorHAnsi" w:hAnsiTheme="minorHAnsi"/>
        </w:rPr>
        <w:t>covered</w:t>
      </w:r>
      <w:r w:rsidRPr="008F100A">
        <w:rPr>
          <w:rFonts w:asciiTheme="minorHAnsi" w:hAnsiTheme="minorHAnsi"/>
          <w:spacing w:val="-1"/>
        </w:rPr>
        <w:t xml:space="preserve"> </w:t>
      </w:r>
      <w:r w:rsidRPr="008F100A">
        <w:rPr>
          <w:rFonts w:asciiTheme="minorHAnsi" w:hAnsiTheme="minorHAnsi"/>
        </w:rPr>
        <w:t>SNF</w:t>
      </w:r>
      <w:r w:rsidRPr="008F100A">
        <w:rPr>
          <w:rFonts w:asciiTheme="minorHAnsi" w:hAnsiTheme="minorHAnsi"/>
          <w:spacing w:val="-1"/>
        </w:rPr>
        <w:t xml:space="preserve"> </w:t>
      </w:r>
      <w:r w:rsidRPr="008F100A">
        <w:rPr>
          <w:rFonts w:asciiTheme="minorHAnsi" w:hAnsiTheme="minorHAnsi"/>
        </w:rPr>
        <w:t>care.</w:t>
      </w:r>
      <w:r w:rsidRPr="008F100A">
        <w:rPr>
          <w:rFonts w:asciiTheme="minorHAnsi" w:hAnsiTheme="minorHAnsi"/>
          <w:spacing w:val="-1"/>
        </w:rPr>
        <w:t xml:space="preserve"> </w:t>
      </w:r>
      <w:r w:rsidRPr="008F100A">
        <w:rPr>
          <w:rFonts w:asciiTheme="minorHAnsi" w:hAnsiTheme="minorHAnsi"/>
        </w:rPr>
        <w:t>The</w:t>
      </w:r>
      <w:r w:rsidRPr="008F100A">
        <w:rPr>
          <w:rFonts w:asciiTheme="minorHAnsi" w:hAnsiTheme="minorHAnsi"/>
          <w:spacing w:val="-1"/>
        </w:rPr>
        <w:t xml:space="preserve"> </w:t>
      </w:r>
      <w:r w:rsidR="006D0E47">
        <w:rPr>
          <w:rFonts w:asciiTheme="minorHAnsi" w:hAnsiTheme="minorHAnsi"/>
          <w:spacing w:val="-1"/>
        </w:rPr>
        <w:t xml:space="preserve">SNF </w:t>
      </w:r>
      <w:r w:rsidRPr="008F100A">
        <w:rPr>
          <w:rFonts w:asciiTheme="minorHAnsi" w:hAnsiTheme="minorHAnsi"/>
        </w:rPr>
        <w:t>star</w:t>
      </w:r>
      <w:r w:rsidRPr="008F100A">
        <w:rPr>
          <w:rFonts w:asciiTheme="minorHAnsi" w:hAnsiTheme="minorHAnsi"/>
          <w:spacing w:val="-1"/>
        </w:rPr>
        <w:t xml:space="preserve"> </w:t>
      </w:r>
      <w:r w:rsidRPr="008F100A">
        <w:rPr>
          <w:rFonts w:asciiTheme="minorHAnsi" w:hAnsiTheme="minorHAnsi"/>
        </w:rPr>
        <w:t>ratings</w:t>
      </w:r>
      <w:r w:rsidRPr="008F100A">
        <w:rPr>
          <w:rFonts w:asciiTheme="minorHAnsi" w:hAnsiTheme="minorHAnsi"/>
          <w:spacing w:val="-1"/>
        </w:rPr>
        <w:t xml:space="preserve"> are based on inspections, staffing,</w:t>
      </w:r>
      <w:r w:rsidRPr="008F100A">
        <w:rPr>
          <w:rFonts w:asciiTheme="minorHAnsi" w:hAnsiTheme="minorHAnsi"/>
        </w:rPr>
        <w:t xml:space="preserve"> and resident </w:t>
      </w:r>
      <w:r w:rsidRPr="008F100A">
        <w:rPr>
          <w:rFonts w:asciiTheme="minorHAnsi" w:hAnsiTheme="minorHAnsi"/>
          <w:spacing w:val="-1"/>
        </w:rPr>
        <w:t>assessment</w:t>
      </w:r>
      <w:r w:rsidRPr="008F100A">
        <w:rPr>
          <w:rFonts w:asciiTheme="minorHAnsi" w:hAnsiTheme="minorHAnsi"/>
          <w:spacing w:val="41"/>
        </w:rPr>
        <w:t xml:space="preserve"> </w:t>
      </w:r>
      <w:r w:rsidRPr="00EE645D">
        <w:rPr>
          <w:rFonts w:asciiTheme="minorHAnsi" w:hAnsiTheme="minorHAnsi"/>
          <w:spacing w:val="-1"/>
        </w:rPr>
        <w:t xml:space="preserve">information </w:t>
      </w:r>
      <w:r w:rsidRPr="00EE645D">
        <w:rPr>
          <w:rFonts w:asciiTheme="minorHAnsi" w:hAnsiTheme="minorHAnsi"/>
        </w:rPr>
        <w:t>collected</w:t>
      </w:r>
      <w:r w:rsidRPr="00EE645D">
        <w:rPr>
          <w:rFonts w:asciiTheme="minorHAnsi" w:hAnsiTheme="minorHAnsi"/>
          <w:spacing w:val="-1"/>
        </w:rPr>
        <w:t xml:space="preserve"> </w:t>
      </w:r>
      <w:r w:rsidRPr="00EE645D">
        <w:rPr>
          <w:rFonts w:asciiTheme="minorHAnsi" w:hAnsiTheme="minorHAnsi"/>
        </w:rPr>
        <w:t>through</w:t>
      </w:r>
      <w:r w:rsidRPr="00EE645D">
        <w:rPr>
          <w:rFonts w:asciiTheme="minorHAnsi" w:hAnsiTheme="minorHAnsi"/>
          <w:spacing w:val="-1"/>
        </w:rPr>
        <w:t xml:space="preserve"> the </w:t>
      </w:r>
      <w:r w:rsidRPr="00EE645D">
        <w:rPr>
          <w:rFonts w:asciiTheme="minorHAnsi" w:hAnsiTheme="minorHAnsi"/>
        </w:rPr>
        <w:t>MDS</w:t>
      </w:r>
      <w:r w:rsidRPr="00EE645D">
        <w:rPr>
          <w:rFonts w:asciiTheme="minorHAnsi" w:hAnsiTheme="minorHAnsi"/>
          <w:spacing w:val="-1"/>
        </w:rPr>
        <w:t xml:space="preserve"> </w:t>
      </w:r>
      <w:r w:rsidRPr="00EE645D">
        <w:rPr>
          <w:rFonts w:asciiTheme="minorHAnsi" w:hAnsiTheme="minorHAnsi"/>
        </w:rPr>
        <w:t>and</w:t>
      </w:r>
      <w:r w:rsidRPr="00EE645D">
        <w:rPr>
          <w:rFonts w:asciiTheme="minorHAnsi" w:hAnsiTheme="minorHAnsi"/>
          <w:spacing w:val="-1"/>
        </w:rPr>
        <w:t xml:space="preserve"> </w:t>
      </w:r>
      <w:r w:rsidRPr="00EE645D">
        <w:rPr>
          <w:rFonts w:asciiTheme="minorHAnsi" w:hAnsiTheme="minorHAnsi"/>
        </w:rPr>
        <w:t>reported</w:t>
      </w:r>
      <w:r w:rsidRPr="00EE645D">
        <w:rPr>
          <w:rFonts w:asciiTheme="minorHAnsi" w:hAnsiTheme="minorHAnsi"/>
          <w:spacing w:val="-1"/>
        </w:rPr>
        <w:t xml:space="preserve"> </w:t>
      </w:r>
      <w:r w:rsidRPr="00EE645D">
        <w:rPr>
          <w:rFonts w:asciiTheme="minorHAnsi" w:hAnsiTheme="minorHAnsi"/>
        </w:rPr>
        <w:t>to</w:t>
      </w:r>
      <w:r w:rsidRPr="00EE645D">
        <w:rPr>
          <w:rFonts w:asciiTheme="minorHAnsi" w:hAnsiTheme="minorHAnsi"/>
          <w:spacing w:val="-1"/>
        </w:rPr>
        <w:t xml:space="preserve"> </w:t>
      </w:r>
      <w:r w:rsidRPr="00EE645D">
        <w:rPr>
          <w:rFonts w:asciiTheme="minorHAnsi" w:hAnsiTheme="minorHAnsi"/>
        </w:rPr>
        <w:t>CMS.</w:t>
      </w:r>
      <w:r w:rsidRPr="00EE645D">
        <w:rPr>
          <w:rFonts w:asciiTheme="minorHAnsi" w:hAnsiTheme="minorHAnsi"/>
          <w:spacing w:val="-1"/>
        </w:rPr>
        <w:t xml:space="preserve"> </w:t>
      </w:r>
      <w:r w:rsidRPr="00EE645D">
        <w:rPr>
          <w:rFonts w:asciiTheme="minorHAnsi" w:hAnsiTheme="minorHAnsi"/>
        </w:rPr>
        <w:t>CAHs</w:t>
      </w:r>
      <w:r w:rsidRPr="00EE645D">
        <w:rPr>
          <w:rFonts w:asciiTheme="minorHAnsi" w:hAnsiTheme="minorHAnsi"/>
          <w:spacing w:val="-1"/>
        </w:rPr>
        <w:t xml:space="preserve"> </w:t>
      </w:r>
      <w:r w:rsidRPr="00EE645D">
        <w:rPr>
          <w:rFonts w:asciiTheme="minorHAnsi" w:hAnsiTheme="minorHAnsi"/>
        </w:rPr>
        <w:t>are</w:t>
      </w:r>
      <w:r w:rsidRPr="00EE645D">
        <w:rPr>
          <w:rFonts w:asciiTheme="minorHAnsi" w:hAnsiTheme="minorHAnsi"/>
          <w:spacing w:val="-1"/>
        </w:rPr>
        <w:t xml:space="preserve"> </w:t>
      </w:r>
      <w:r w:rsidRPr="00EE645D">
        <w:rPr>
          <w:rFonts w:asciiTheme="minorHAnsi" w:hAnsiTheme="minorHAnsi"/>
        </w:rPr>
        <w:t>not</w:t>
      </w:r>
      <w:r w:rsidRPr="00EE645D">
        <w:rPr>
          <w:rFonts w:asciiTheme="minorHAnsi" w:hAnsiTheme="minorHAnsi"/>
          <w:spacing w:val="-1"/>
        </w:rPr>
        <w:t xml:space="preserve"> required </w:t>
      </w:r>
      <w:r w:rsidRPr="00EE645D">
        <w:rPr>
          <w:rFonts w:asciiTheme="minorHAnsi" w:hAnsiTheme="minorHAnsi"/>
        </w:rPr>
        <w:t>to</w:t>
      </w:r>
      <w:r w:rsidRPr="00EE645D">
        <w:rPr>
          <w:rFonts w:asciiTheme="minorHAnsi" w:hAnsiTheme="minorHAnsi"/>
          <w:spacing w:val="-1"/>
        </w:rPr>
        <w:t xml:space="preserve"> </w:t>
      </w:r>
      <w:r w:rsidRPr="00EE645D">
        <w:rPr>
          <w:rFonts w:asciiTheme="minorHAnsi" w:hAnsiTheme="minorHAnsi"/>
        </w:rPr>
        <w:t>collect</w:t>
      </w:r>
      <w:r w:rsidRPr="00EE645D">
        <w:rPr>
          <w:rFonts w:asciiTheme="minorHAnsi" w:hAnsiTheme="minorHAnsi"/>
          <w:spacing w:val="-1"/>
        </w:rPr>
        <w:t xml:space="preserve"> </w:t>
      </w:r>
      <w:r w:rsidRPr="00EE645D">
        <w:rPr>
          <w:rFonts w:asciiTheme="minorHAnsi" w:hAnsiTheme="minorHAnsi"/>
        </w:rPr>
        <w:t>and</w:t>
      </w:r>
      <w:r w:rsidRPr="00EE645D">
        <w:rPr>
          <w:rFonts w:asciiTheme="minorHAnsi" w:hAnsiTheme="minorHAnsi"/>
          <w:spacing w:val="-2"/>
        </w:rPr>
        <w:t xml:space="preserve"> </w:t>
      </w:r>
      <w:r w:rsidRPr="00EE645D">
        <w:rPr>
          <w:rFonts w:asciiTheme="minorHAnsi" w:hAnsiTheme="minorHAnsi"/>
        </w:rPr>
        <w:t>report</w:t>
      </w:r>
      <w:r w:rsidRPr="00EE645D">
        <w:rPr>
          <w:rFonts w:asciiTheme="minorHAnsi" w:hAnsiTheme="minorHAnsi"/>
          <w:spacing w:val="-1"/>
        </w:rPr>
        <w:t xml:space="preserve"> MDS </w:t>
      </w:r>
      <w:bookmarkStart w:id="5" w:name="_Hlk24990339"/>
      <w:r w:rsidR="00EE645D">
        <w:rPr>
          <w:rFonts w:asciiTheme="minorHAnsi" w:hAnsiTheme="minorHAnsi"/>
          <w:spacing w:val="-1"/>
        </w:rPr>
        <w:t>data</w:t>
      </w:r>
      <w:r w:rsidR="00506AE3" w:rsidRPr="00EE645D">
        <w:rPr>
          <w:rFonts w:asciiTheme="minorHAnsi" w:hAnsiTheme="minorHAnsi"/>
          <w:spacing w:val="-1"/>
        </w:rPr>
        <w:t xml:space="preserve"> </w:t>
      </w:r>
      <w:r w:rsidRPr="00EE645D">
        <w:rPr>
          <w:rFonts w:asciiTheme="minorHAnsi" w:hAnsiTheme="minorHAnsi"/>
          <w:spacing w:val="-1"/>
        </w:rPr>
        <w:t>and</w:t>
      </w:r>
      <w:r w:rsidRPr="008F100A">
        <w:rPr>
          <w:rFonts w:asciiTheme="minorHAnsi" w:hAnsiTheme="minorHAnsi"/>
          <w:spacing w:val="-1"/>
        </w:rPr>
        <w:t xml:space="preserve"> </w:t>
      </w:r>
      <w:bookmarkEnd w:id="5"/>
      <w:r w:rsidRPr="008F100A">
        <w:rPr>
          <w:rFonts w:asciiTheme="minorHAnsi" w:hAnsiTheme="minorHAnsi"/>
          <w:spacing w:val="-1"/>
        </w:rPr>
        <w:t>are not assigned star ratings.</w:t>
      </w:r>
    </w:p>
    <w:p w14:paraId="34A21D07" w14:textId="0CEB3772" w:rsidR="00092D69" w:rsidRPr="008F100A" w:rsidRDefault="00092D69" w:rsidP="003916D5">
      <w:pPr>
        <w:pStyle w:val="BodyText"/>
        <w:spacing w:line="480" w:lineRule="auto"/>
        <w:ind w:left="0" w:right="106"/>
        <w:rPr>
          <w:rFonts w:asciiTheme="minorHAnsi" w:hAnsiTheme="minorHAnsi"/>
        </w:rPr>
      </w:pPr>
    </w:p>
    <w:p w14:paraId="4A4068A3" w14:textId="64AA0639" w:rsidR="00092D69" w:rsidRPr="008F100A" w:rsidRDefault="00EE645D" w:rsidP="003916D5">
      <w:pPr>
        <w:pStyle w:val="BodyText"/>
        <w:spacing w:line="480" w:lineRule="auto"/>
        <w:ind w:left="0" w:right="106"/>
        <w:rPr>
          <w:rFonts w:asciiTheme="minorHAnsi" w:hAnsiTheme="minorHAnsi"/>
        </w:rPr>
      </w:pPr>
      <w:bookmarkStart w:id="6" w:name="_Hlk24990421"/>
      <w:r w:rsidRPr="00EE645D">
        <w:rPr>
          <w:rFonts w:asciiTheme="minorHAnsi" w:hAnsiTheme="minorHAnsi"/>
        </w:rPr>
        <w:t xml:space="preserve">CAH </w:t>
      </w:r>
      <w:r w:rsidR="00436120">
        <w:rPr>
          <w:rFonts w:asciiTheme="minorHAnsi" w:hAnsiTheme="minorHAnsi"/>
        </w:rPr>
        <w:t>swing bed</w:t>
      </w:r>
      <w:r w:rsidR="00092D69" w:rsidRPr="00EE645D">
        <w:rPr>
          <w:rFonts w:asciiTheme="minorHAnsi" w:hAnsiTheme="minorHAnsi"/>
        </w:rPr>
        <w:t>s</w:t>
      </w:r>
      <w:r w:rsidR="00092D69" w:rsidRPr="00EE645D">
        <w:rPr>
          <w:rFonts w:asciiTheme="minorHAnsi" w:hAnsiTheme="minorHAnsi"/>
          <w:spacing w:val="-1"/>
        </w:rPr>
        <w:t xml:space="preserve"> </w:t>
      </w:r>
      <w:r w:rsidR="00D772DE" w:rsidRPr="00EE645D">
        <w:rPr>
          <w:rFonts w:asciiTheme="minorHAnsi" w:hAnsiTheme="minorHAnsi"/>
          <w:spacing w:val="-1"/>
        </w:rPr>
        <w:t xml:space="preserve">also </w:t>
      </w:r>
      <w:r w:rsidR="00092D69" w:rsidRPr="00EE645D">
        <w:rPr>
          <w:rFonts w:asciiTheme="minorHAnsi" w:hAnsiTheme="minorHAnsi"/>
        </w:rPr>
        <w:t>have</w:t>
      </w:r>
      <w:r w:rsidR="00092D69" w:rsidRPr="00EE645D">
        <w:rPr>
          <w:rFonts w:asciiTheme="minorHAnsi" w:hAnsiTheme="minorHAnsi"/>
          <w:spacing w:val="-1"/>
        </w:rPr>
        <w:t xml:space="preserve"> </w:t>
      </w:r>
      <w:r w:rsidR="00092D69" w:rsidRPr="00EE645D">
        <w:rPr>
          <w:rFonts w:asciiTheme="minorHAnsi" w:hAnsiTheme="minorHAnsi"/>
        </w:rPr>
        <w:t>not</w:t>
      </w:r>
      <w:r w:rsidR="00092D69" w:rsidRPr="00EE645D">
        <w:rPr>
          <w:rFonts w:asciiTheme="minorHAnsi" w:hAnsiTheme="minorHAnsi"/>
          <w:spacing w:val="-1"/>
        </w:rPr>
        <w:t xml:space="preserve"> </w:t>
      </w:r>
      <w:r w:rsidR="00092D69" w:rsidRPr="00EE645D">
        <w:rPr>
          <w:rFonts w:asciiTheme="minorHAnsi" w:hAnsiTheme="minorHAnsi"/>
        </w:rPr>
        <w:t>been</w:t>
      </w:r>
      <w:r w:rsidR="00092D69" w:rsidRPr="00EE645D">
        <w:rPr>
          <w:rFonts w:asciiTheme="minorHAnsi" w:hAnsiTheme="minorHAnsi"/>
          <w:spacing w:val="-1"/>
        </w:rPr>
        <w:t xml:space="preserve"> </w:t>
      </w:r>
      <w:r w:rsidR="00092D69" w:rsidRPr="00EE645D">
        <w:rPr>
          <w:rFonts w:asciiTheme="minorHAnsi" w:hAnsiTheme="minorHAnsi"/>
        </w:rPr>
        <w:t>included</w:t>
      </w:r>
      <w:r w:rsidR="00092D69" w:rsidRPr="00EE645D">
        <w:rPr>
          <w:rFonts w:asciiTheme="minorHAnsi" w:hAnsiTheme="minorHAnsi"/>
          <w:spacing w:val="-1"/>
        </w:rPr>
        <w:t xml:space="preserve"> </w:t>
      </w:r>
      <w:bookmarkEnd w:id="6"/>
      <w:r w:rsidR="00092D69" w:rsidRPr="00EE645D">
        <w:rPr>
          <w:rFonts w:asciiTheme="minorHAnsi" w:hAnsiTheme="minorHAnsi"/>
        </w:rPr>
        <w:t>in</w:t>
      </w:r>
      <w:r w:rsidR="00092D69" w:rsidRPr="00EE645D">
        <w:rPr>
          <w:rFonts w:asciiTheme="minorHAnsi" w:hAnsiTheme="minorHAnsi"/>
          <w:spacing w:val="-1"/>
        </w:rPr>
        <w:t xml:space="preserve"> recent </w:t>
      </w:r>
      <w:r w:rsidR="006D0E47" w:rsidRPr="00EE645D">
        <w:rPr>
          <w:rFonts w:asciiTheme="minorHAnsi" w:hAnsiTheme="minorHAnsi"/>
          <w:spacing w:val="-1"/>
        </w:rPr>
        <w:t xml:space="preserve">national </w:t>
      </w:r>
      <w:r w:rsidR="00092D69" w:rsidRPr="00EE645D">
        <w:rPr>
          <w:rFonts w:asciiTheme="minorHAnsi" w:hAnsiTheme="minorHAnsi"/>
        </w:rPr>
        <w:t>quality</w:t>
      </w:r>
      <w:r w:rsidR="00092D69" w:rsidRPr="00EE645D">
        <w:rPr>
          <w:rFonts w:asciiTheme="minorHAnsi" w:hAnsiTheme="minorHAnsi"/>
          <w:spacing w:val="-1"/>
        </w:rPr>
        <w:t xml:space="preserve"> measurement </w:t>
      </w:r>
      <w:r w:rsidR="00092D69" w:rsidRPr="00EE645D">
        <w:rPr>
          <w:rFonts w:asciiTheme="minorHAnsi" w:hAnsiTheme="minorHAnsi"/>
        </w:rPr>
        <w:t>efforts.</w:t>
      </w:r>
      <w:r w:rsidR="00092D69" w:rsidRPr="008F100A">
        <w:rPr>
          <w:rFonts w:asciiTheme="minorHAnsi" w:hAnsiTheme="minorHAnsi"/>
        </w:rPr>
        <w:t xml:space="preserve"> The Improving Medicare Post-Acute Care Transformation Act of 2014 (IMPACT) requires post-acute providers, including Long-Term Care Hospitals (LTCHs), Skilled Nursing Facilities (SNFs), Home Health Agencies (HHAs)</w:t>
      </w:r>
      <w:r w:rsidR="002469E8">
        <w:rPr>
          <w:rFonts w:asciiTheme="minorHAnsi" w:hAnsiTheme="minorHAnsi"/>
        </w:rPr>
        <w:t>,</w:t>
      </w:r>
      <w:r w:rsidR="00092D69" w:rsidRPr="008F100A">
        <w:rPr>
          <w:rFonts w:asciiTheme="minorHAnsi" w:hAnsiTheme="minorHAnsi"/>
        </w:rPr>
        <w:t xml:space="preserve"> and Inpatient Rehabilitation Facilities (IRFs), to submit standardized and interoperable patient assessment data that will facilitate coordinated care, improved outcomes, and overall quality comparisons, but does not include </w:t>
      </w:r>
      <w:r w:rsidR="0060067E" w:rsidRPr="008F100A">
        <w:rPr>
          <w:rFonts w:asciiTheme="minorHAnsi" w:hAnsiTheme="minorHAnsi"/>
        </w:rPr>
        <w:t xml:space="preserve">CAH </w:t>
      </w:r>
      <w:r w:rsidR="00436120">
        <w:rPr>
          <w:rFonts w:asciiTheme="minorHAnsi" w:hAnsiTheme="minorHAnsi"/>
        </w:rPr>
        <w:t>swing bed</w:t>
      </w:r>
      <w:r w:rsidR="00092D69" w:rsidRPr="008F100A">
        <w:rPr>
          <w:rFonts w:asciiTheme="minorHAnsi" w:hAnsiTheme="minorHAnsi"/>
        </w:rPr>
        <w:t>s.</w:t>
      </w:r>
      <w:r w:rsidR="00092D69" w:rsidRPr="008F100A">
        <w:rPr>
          <w:rFonts w:asciiTheme="minorHAnsi" w:hAnsiTheme="minorHAnsi"/>
          <w:spacing w:val="-1"/>
          <w:position w:val="9"/>
        </w:rPr>
        <w:t xml:space="preserve"> </w:t>
      </w:r>
      <w:r w:rsidR="00092D69" w:rsidRPr="008F100A">
        <w:rPr>
          <w:rFonts w:asciiTheme="minorHAnsi" w:hAnsiTheme="minorHAnsi"/>
        </w:rPr>
        <w:t>Similarly, a National Quality For</w:t>
      </w:r>
      <w:r w:rsidR="003A16BC">
        <w:rPr>
          <w:rFonts w:asciiTheme="minorHAnsi" w:hAnsiTheme="minorHAnsi"/>
        </w:rPr>
        <w:t>u</w:t>
      </w:r>
      <w:r w:rsidR="00092D69" w:rsidRPr="008F100A">
        <w:rPr>
          <w:rFonts w:asciiTheme="minorHAnsi" w:hAnsiTheme="minorHAnsi"/>
        </w:rPr>
        <w:t>m (NQF) Measure Application Partnership</w:t>
      </w:r>
      <w:r w:rsidR="00092D69" w:rsidRPr="008F100A">
        <w:rPr>
          <w:rFonts w:asciiTheme="minorHAnsi" w:hAnsiTheme="minorHAnsi"/>
          <w:spacing w:val="-1"/>
        </w:rPr>
        <w:t xml:space="preserve"> </w:t>
      </w:r>
      <w:r w:rsidR="00092D69" w:rsidRPr="008F100A">
        <w:rPr>
          <w:rFonts w:asciiTheme="minorHAnsi" w:hAnsiTheme="minorHAnsi"/>
        </w:rPr>
        <w:t>project</w:t>
      </w:r>
      <w:r w:rsidR="00092D69" w:rsidRPr="008F100A">
        <w:rPr>
          <w:rFonts w:asciiTheme="minorHAnsi" w:hAnsiTheme="minorHAnsi"/>
          <w:spacing w:val="-1"/>
        </w:rPr>
        <w:t xml:space="preserve"> </w:t>
      </w:r>
      <w:r w:rsidR="00092D69" w:rsidRPr="008F100A">
        <w:rPr>
          <w:rFonts w:asciiTheme="minorHAnsi" w:hAnsiTheme="minorHAnsi"/>
        </w:rPr>
        <w:t>to</w:t>
      </w:r>
      <w:r w:rsidR="00092D69" w:rsidRPr="008F100A">
        <w:rPr>
          <w:rFonts w:asciiTheme="minorHAnsi" w:hAnsiTheme="minorHAnsi"/>
          <w:spacing w:val="-1"/>
        </w:rPr>
        <w:t xml:space="preserve"> select</w:t>
      </w:r>
      <w:r w:rsidR="00092D69" w:rsidRPr="008F100A">
        <w:rPr>
          <w:rFonts w:asciiTheme="minorHAnsi" w:hAnsiTheme="minorHAnsi"/>
        </w:rPr>
        <w:t xml:space="preserve"> post-acute and long-term</w:t>
      </w:r>
      <w:r w:rsidR="00092D69" w:rsidRPr="008F100A">
        <w:rPr>
          <w:rFonts w:asciiTheme="minorHAnsi" w:hAnsiTheme="minorHAnsi"/>
          <w:spacing w:val="-2"/>
        </w:rPr>
        <w:t xml:space="preserve"> </w:t>
      </w:r>
      <w:r w:rsidR="00092D69" w:rsidRPr="008F100A">
        <w:rPr>
          <w:rFonts w:asciiTheme="minorHAnsi" w:hAnsiTheme="minorHAnsi"/>
        </w:rPr>
        <w:t xml:space="preserve">care quality </w:t>
      </w:r>
      <w:r w:rsidR="00092D69" w:rsidRPr="008F100A">
        <w:rPr>
          <w:rFonts w:asciiTheme="minorHAnsi" w:hAnsiTheme="minorHAnsi"/>
          <w:spacing w:val="-1"/>
        </w:rPr>
        <w:t>measures</w:t>
      </w:r>
      <w:r w:rsidR="00092D69" w:rsidRPr="008F100A">
        <w:rPr>
          <w:rFonts w:asciiTheme="minorHAnsi" w:hAnsiTheme="minorHAnsi"/>
        </w:rPr>
        <w:t xml:space="preserve"> focused on SNFs, HHAs,</w:t>
      </w:r>
      <w:r w:rsidR="00092D69" w:rsidRPr="008F100A">
        <w:rPr>
          <w:rFonts w:asciiTheme="minorHAnsi" w:hAnsiTheme="minorHAnsi"/>
          <w:spacing w:val="-1"/>
        </w:rPr>
        <w:t xml:space="preserve"> </w:t>
      </w:r>
      <w:r w:rsidR="00092D69" w:rsidRPr="008F100A">
        <w:rPr>
          <w:rFonts w:asciiTheme="minorHAnsi" w:hAnsiTheme="minorHAnsi"/>
        </w:rPr>
        <w:t>hospice,</w:t>
      </w:r>
      <w:r w:rsidR="00092D69" w:rsidRPr="008F100A">
        <w:rPr>
          <w:rFonts w:asciiTheme="minorHAnsi" w:hAnsiTheme="minorHAnsi"/>
          <w:spacing w:val="-1"/>
        </w:rPr>
        <w:t xml:space="preserve"> IRFs</w:t>
      </w:r>
      <w:r w:rsidR="00092D69" w:rsidRPr="008F100A">
        <w:rPr>
          <w:rFonts w:asciiTheme="minorHAnsi" w:hAnsiTheme="minorHAnsi"/>
        </w:rPr>
        <w:t>,</w:t>
      </w:r>
      <w:r w:rsidR="00092D69" w:rsidRPr="008F100A">
        <w:rPr>
          <w:rFonts w:asciiTheme="minorHAnsi" w:hAnsiTheme="minorHAnsi"/>
          <w:spacing w:val="-2"/>
        </w:rPr>
        <w:t xml:space="preserve"> </w:t>
      </w:r>
      <w:r w:rsidR="00092D69" w:rsidRPr="008F100A">
        <w:rPr>
          <w:rFonts w:asciiTheme="minorHAnsi" w:hAnsiTheme="minorHAnsi"/>
        </w:rPr>
        <w:t>and</w:t>
      </w:r>
      <w:r w:rsidR="00092D69" w:rsidRPr="008F100A">
        <w:rPr>
          <w:rFonts w:asciiTheme="minorHAnsi" w:hAnsiTheme="minorHAnsi"/>
          <w:spacing w:val="-1"/>
        </w:rPr>
        <w:t xml:space="preserve"> LTCHs</w:t>
      </w:r>
      <w:r w:rsidR="00092D69" w:rsidRPr="008F100A">
        <w:rPr>
          <w:rFonts w:asciiTheme="minorHAnsi" w:hAnsiTheme="minorHAnsi"/>
        </w:rPr>
        <w:t>, but did</w:t>
      </w:r>
      <w:r w:rsidR="00092D69" w:rsidRPr="008F100A">
        <w:rPr>
          <w:rFonts w:asciiTheme="minorHAnsi" w:hAnsiTheme="minorHAnsi"/>
          <w:spacing w:val="-2"/>
        </w:rPr>
        <w:t xml:space="preserve"> </w:t>
      </w:r>
      <w:r w:rsidR="00092D69" w:rsidRPr="008F100A">
        <w:rPr>
          <w:rFonts w:asciiTheme="minorHAnsi" w:hAnsiTheme="minorHAnsi"/>
        </w:rPr>
        <w:t xml:space="preserve">not address </w:t>
      </w:r>
      <w:r w:rsidR="00436120">
        <w:rPr>
          <w:rFonts w:asciiTheme="minorHAnsi" w:hAnsiTheme="minorHAnsi"/>
          <w:spacing w:val="-1"/>
        </w:rPr>
        <w:t>swing bed</w:t>
      </w:r>
      <w:r w:rsidR="00092D69" w:rsidRPr="008F100A">
        <w:rPr>
          <w:rFonts w:asciiTheme="minorHAnsi" w:hAnsiTheme="minorHAnsi"/>
          <w:spacing w:val="-1"/>
        </w:rPr>
        <w:t>s.</w:t>
      </w:r>
      <w:r w:rsidR="00587AE5">
        <w:rPr>
          <w:rFonts w:asciiTheme="minorHAnsi" w:hAnsiTheme="minorHAnsi"/>
          <w:spacing w:val="-1"/>
          <w:position w:val="9"/>
          <w:sz w:val="16"/>
        </w:rPr>
        <w:t>5</w:t>
      </w:r>
    </w:p>
    <w:p w14:paraId="23FB1FEA" w14:textId="77777777" w:rsidR="00092D69" w:rsidRPr="008F100A" w:rsidRDefault="00092D69" w:rsidP="003916D5">
      <w:pPr>
        <w:pStyle w:val="BodyText"/>
        <w:spacing w:line="480" w:lineRule="auto"/>
        <w:ind w:left="0" w:right="106"/>
        <w:rPr>
          <w:rFonts w:asciiTheme="minorHAnsi" w:hAnsiTheme="minorHAnsi"/>
        </w:rPr>
      </w:pPr>
    </w:p>
    <w:p w14:paraId="740420A8" w14:textId="1F449AE2" w:rsidR="00092D69" w:rsidRPr="008F100A" w:rsidRDefault="00587AE5" w:rsidP="003916D5">
      <w:pPr>
        <w:pStyle w:val="BodyText"/>
        <w:spacing w:line="480" w:lineRule="auto"/>
        <w:ind w:left="0" w:right="106"/>
        <w:rPr>
          <w:rFonts w:asciiTheme="minorHAnsi" w:hAnsiTheme="minorHAnsi"/>
          <w:b/>
        </w:rPr>
      </w:pPr>
      <w:r>
        <w:rPr>
          <w:rFonts w:asciiTheme="minorHAnsi" w:hAnsiTheme="minorHAnsi"/>
          <w:b/>
        </w:rPr>
        <w:t>Purpose</w:t>
      </w:r>
    </w:p>
    <w:p w14:paraId="7C1AC9B6" w14:textId="04341A86" w:rsidR="00587AE5" w:rsidRDefault="00092D69" w:rsidP="003916D5">
      <w:pPr>
        <w:pStyle w:val="BodyText"/>
        <w:spacing w:line="480" w:lineRule="auto"/>
        <w:ind w:left="0" w:right="101"/>
        <w:rPr>
          <w:rFonts w:asciiTheme="minorHAnsi" w:hAnsiTheme="minorHAnsi"/>
        </w:rPr>
      </w:pPr>
      <w:bookmarkStart w:id="7" w:name="_Hlk24990764"/>
      <w:r w:rsidRPr="00EE645D">
        <w:rPr>
          <w:rFonts w:asciiTheme="minorHAnsi" w:hAnsiTheme="minorHAnsi"/>
        </w:rPr>
        <w:t>T</w:t>
      </w:r>
      <w:r w:rsidR="00DA1140" w:rsidRPr="00EE645D">
        <w:rPr>
          <w:rFonts w:asciiTheme="minorHAnsi" w:hAnsiTheme="minorHAnsi"/>
        </w:rPr>
        <w:t xml:space="preserve">he purpose of this study </w:t>
      </w:r>
      <w:r w:rsidR="00EE645D" w:rsidRPr="00EE645D">
        <w:rPr>
          <w:rFonts w:asciiTheme="minorHAnsi" w:hAnsiTheme="minorHAnsi"/>
        </w:rPr>
        <w:t>was</w:t>
      </w:r>
      <w:r w:rsidR="00587AE5" w:rsidRPr="00EE645D">
        <w:rPr>
          <w:rFonts w:asciiTheme="minorHAnsi" w:hAnsiTheme="minorHAnsi"/>
        </w:rPr>
        <w:t>:</w:t>
      </w:r>
    </w:p>
    <w:bookmarkEnd w:id="7"/>
    <w:p w14:paraId="56CA412E" w14:textId="2A8A7F84" w:rsidR="00587AE5" w:rsidRPr="00587AE5" w:rsidRDefault="00E81030" w:rsidP="00926950">
      <w:pPr>
        <w:pStyle w:val="BodyText"/>
        <w:numPr>
          <w:ilvl w:val="0"/>
          <w:numId w:val="26"/>
        </w:numPr>
        <w:ind w:right="101"/>
        <w:rPr>
          <w:rFonts w:asciiTheme="minorHAnsi" w:hAnsiTheme="minorHAnsi"/>
        </w:rPr>
      </w:pPr>
      <w:r>
        <w:rPr>
          <w:rFonts w:asciiTheme="minorHAnsi" w:hAnsiTheme="minorHAnsi"/>
        </w:rPr>
        <w:t>to</w:t>
      </w:r>
      <w:r w:rsidR="00092D69" w:rsidRPr="008F100A">
        <w:rPr>
          <w:rFonts w:asciiTheme="minorHAnsi" w:hAnsiTheme="minorHAnsi"/>
        </w:rPr>
        <w:t xml:space="preserve"> </w:t>
      </w:r>
      <w:r w:rsidR="00092D69" w:rsidRPr="008F100A">
        <w:rPr>
          <w:rFonts w:asciiTheme="minorHAnsi" w:hAnsiTheme="minorHAnsi"/>
          <w:bCs/>
        </w:rPr>
        <w:t>identify measures that can be used to assess the quality of care pro</w:t>
      </w:r>
      <w:r w:rsidR="00587AE5">
        <w:rPr>
          <w:rFonts w:asciiTheme="minorHAnsi" w:hAnsiTheme="minorHAnsi"/>
          <w:bCs/>
        </w:rPr>
        <w:t xml:space="preserve">vided to CAH </w:t>
      </w:r>
      <w:r w:rsidR="00436120">
        <w:rPr>
          <w:rFonts w:asciiTheme="minorHAnsi" w:hAnsiTheme="minorHAnsi"/>
          <w:bCs/>
        </w:rPr>
        <w:t>swing bed</w:t>
      </w:r>
      <w:r w:rsidR="00587AE5">
        <w:rPr>
          <w:rFonts w:asciiTheme="minorHAnsi" w:hAnsiTheme="minorHAnsi"/>
          <w:bCs/>
        </w:rPr>
        <w:t xml:space="preserve"> patients,</w:t>
      </w:r>
    </w:p>
    <w:p w14:paraId="58ECCA29" w14:textId="77777777" w:rsidR="00587AE5" w:rsidRPr="00587AE5" w:rsidRDefault="00D962CB" w:rsidP="00926950">
      <w:pPr>
        <w:pStyle w:val="BodyText"/>
        <w:numPr>
          <w:ilvl w:val="0"/>
          <w:numId w:val="26"/>
        </w:numPr>
        <w:spacing w:before="240" w:line="480" w:lineRule="auto"/>
        <w:ind w:right="101"/>
        <w:rPr>
          <w:rFonts w:asciiTheme="minorHAnsi" w:hAnsiTheme="minorHAnsi"/>
        </w:rPr>
      </w:pPr>
      <w:r>
        <w:rPr>
          <w:rFonts w:asciiTheme="minorHAnsi" w:hAnsiTheme="minorHAnsi"/>
          <w:bCs/>
        </w:rPr>
        <w:t xml:space="preserve"> to implement a field test of these measure</w:t>
      </w:r>
      <w:r w:rsidR="003610EA">
        <w:rPr>
          <w:rFonts w:asciiTheme="minorHAnsi" w:hAnsiTheme="minorHAnsi"/>
          <w:bCs/>
        </w:rPr>
        <w:t>s</w:t>
      </w:r>
      <w:r w:rsidR="00587AE5">
        <w:rPr>
          <w:rFonts w:asciiTheme="minorHAnsi" w:hAnsiTheme="minorHAnsi"/>
          <w:bCs/>
        </w:rPr>
        <w:t>,</w:t>
      </w:r>
    </w:p>
    <w:p w14:paraId="5D65C644" w14:textId="3B719BCB" w:rsidR="00092D69" w:rsidRPr="00587AE5" w:rsidRDefault="003610EA" w:rsidP="00587AE5">
      <w:pPr>
        <w:pStyle w:val="BodyText"/>
        <w:numPr>
          <w:ilvl w:val="0"/>
          <w:numId w:val="26"/>
        </w:numPr>
        <w:spacing w:line="480" w:lineRule="auto"/>
        <w:ind w:right="101"/>
        <w:rPr>
          <w:rFonts w:asciiTheme="minorHAnsi" w:hAnsiTheme="minorHAnsi"/>
        </w:rPr>
      </w:pPr>
      <w:r>
        <w:rPr>
          <w:rFonts w:asciiTheme="minorHAnsi" w:hAnsiTheme="minorHAnsi"/>
          <w:bCs/>
        </w:rPr>
        <w:t xml:space="preserve">to measure outcomes </w:t>
      </w:r>
      <w:r w:rsidR="001F32AB">
        <w:rPr>
          <w:rFonts w:asciiTheme="minorHAnsi" w:hAnsiTheme="minorHAnsi"/>
          <w:bCs/>
        </w:rPr>
        <w:t>for</w:t>
      </w:r>
      <w:r w:rsidR="00D962CB">
        <w:rPr>
          <w:rFonts w:asciiTheme="minorHAnsi" w:hAnsiTheme="minorHAnsi"/>
          <w:bCs/>
        </w:rPr>
        <w:t xml:space="preserve"> </w:t>
      </w:r>
      <w:r w:rsidR="00587AE5">
        <w:rPr>
          <w:rFonts w:asciiTheme="minorHAnsi" w:hAnsiTheme="minorHAnsi"/>
          <w:bCs/>
        </w:rPr>
        <w:t xml:space="preserve">CAH </w:t>
      </w:r>
      <w:r w:rsidR="00436120">
        <w:rPr>
          <w:rFonts w:asciiTheme="minorHAnsi" w:hAnsiTheme="minorHAnsi"/>
          <w:bCs/>
        </w:rPr>
        <w:t>swing bed</w:t>
      </w:r>
      <w:r w:rsidR="00587AE5">
        <w:rPr>
          <w:rFonts w:asciiTheme="minorHAnsi" w:hAnsiTheme="minorHAnsi"/>
          <w:bCs/>
        </w:rPr>
        <w:t xml:space="preserve"> patients, and</w:t>
      </w:r>
    </w:p>
    <w:p w14:paraId="6EE03FD6" w14:textId="54044A3E" w:rsidR="00587AE5" w:rsidRPr="008F100A" w:rsidRDefault="00587AE5" w:rsidP="00587AE5">
      <w:pPr>
        <w:pStyle w:val="BodyText"/>
        <w:numPr>
          <w:ilvl w:val="0"/>
          <w:numId w:val="26"/>
        </w:numPr>
        <w:spacing w:line="480" w:lineRule="auto"/>
        <w:ind w:right="101"/>
        <w:rPr>
          <w:rFonts w:asciiTheme="minorHAnsi" w:hAnsiTheme="minorHAnsi"/>
        </w:rPr>
      </w:pPr>
      <w:r>
        <w:rPr>
          <w:rFonts w:asciiTheme="minorHAnsi" w:hAnsiTheme="minorHAnsi"/>
          <w:bCs/>
        </w:rPr>
        <w:t>to compare patient outcomes in CAH swing bed</w:t>
      </w:r>
      <w:r w:rsidR="00926950">
        <w:rPr>
          <w:rFonts w:asciiTheme="minorHAnsi" w:hAnsiTheme="minorHAnsi"/>
          <w:bCs/>
        </w:rPr>
        <w:t>s</w:t>
      </w:r>
      <w:r>
        <w:rPr>
          <w:rFonts w:asciiTheme="minorHAnsi" w:hAnsiTheme="minorHAnsi"/>
          <w:bCs/>
        </w:rPr>
        <w:t xml:space="preserve"> and rural Skilled Nursing Facilities (SNFs)</w:t>
      </w:r>
    </w:p>
    <w:p w14:paraId="2473F4A6" w14:textId="77777777" w:rsidR="00092D69" w:rsidRPr="008F100A" w:rsidRDefault="00092D69" w:rsidP="003916D5">
      <w:pPr>
        <w:spacing w:after="0" w:line="480" w:lineRule="auto"/>
      </w:pPr>
    </w:p>
    <w:p w14:paraId="0F7D44E5" w14:textId="2B84002D" w:rsidR="00AD5CE8" w:rsidRDefault="00D962CB" w:rsidP="003916D5">
      <w:pPr>
        <w:pStyle w:val="BodyText"/>
        <w:spacing w:line="480" w:lineRule="auto"/>
        <w:ind w:left="0" w:right="116"/>
        <w:rPr>
          <w:rFonts w:asciiTheme="minorHAnsi" w:hAnsiTheme="minorHAnsi"/>
          <w:b/>
          <w:spacing w:val="-1"/>
        </w:rPr>
      </w:pPr>
      <w:r>
        <w:rPr>
          <w:rFonts w:asciiTheme="minorHAnsi" w:hAnsiTheme="minorHAnsi"/>
          <w:b/>
          <w:spacing w:val="-1"/>
        </w:rPr>
        <w:t>Measuring Quality for Swing Bed Patients</w:t>
      </w:r>
    </w:p>
    <w:p w14:paraId="53C8CEB2" w14:textId="44010DE2" w:rsidR="003A2BC3" w:rsidRDefault="00D962CB" w:rsidP="003916D5">
      <w:pPr>
        <w:pStyle w:val="BodyText"/>
        <w:spacing w:line="480" w:lineRule="auto"/>
        <w:ind w:left="0" w:right="116"/>
        <w:rPr>
          <w:rFonts w:asciiTheme="minorHAnsi" w:hAnsiTheme="minorHAnsi"/>
          <w:spacing w:val="-1"/>
        </w:rPr>
      </w:pPr>
      <w:r>
        <w:rPr>
          <w:rFonts w:asciiTheme="minorHAnsi" w:hAnsiTheme="minorHAnsi"/>
          <w:spacing w:val="-1"/>
        </w:rPr>
        <w:t xml:space="preserve">For the first part of the study that identified relevant </w:t>
      </w:r>
      <w:r w:rsidR="00587AE5">
        <w:rPr>
          <w:rFonts w:asciiTheme="minorHAnsi" w:hAnsiTheme="minorHAnsi"/>
          <w:spacing w:val="-1"/>
        </w:rPr>
        <w:t xml:space="preserve">quality </w:t>
      </w:r>
      <w:r>
        <w:rPr>
          <w:rFonts w:asciiTheme="minorHAnsi" w:hAnsiTheme="minorHAnsi"/>
          <w:spacing w:val="-1"/>
        </w:rPr>
        <w:t>measures for CAH swing bed patients, a detailed description of the methods used is provided in a recent policy brief.</w:t>
      </w:r>
      <w:r w:rsidR="00587AE5" w:rsidRPr="00587AE5">
        <w:rPr>
          <w:rFonts w:asciiTheme="minorHAnsi" w:hAnsiTheme="minorHAnsi"/>
          <w:spacing w:val="-1"/>
          <w:vertAlign w:val="superscript"/>
        </w:rPr>
        <w:t>6</w:t>
      </w:r>
      <w:r w:rsidR="003610EA">
        <w:rPr>
          <w:rFonts w:asciiTheme="minorHAnsi" w:hAnsiTheme="minorHAnsi"/>
          <w:spacing w:val="-1"/>
        </w:rPr>
        <w:t xml:space="preserve"> </w:t>
      </w:r>
      <w:r>
        <w:rPr>
          <w:rFonts w:asciiTheme="minorHAnsi" w:hAnsiTheme="minorHAnsi"/>
          <w:spacing w:val="-1"/>
        </w:rPr>
        <w:t>The method</w:t>
      </w:r>
      <w:r w:rsidR="003610EA">
        <w:rPr>
          <w:rFonts w:asciiTheme="minorHAnsi" w:hAnsiTheme="minorHAnsi"/>
          <w:spacing w:val="-1"/>
        </w:rPr>
        <w:t>s</w:t>
      </w:r>
      <w:r>
        <w:rPr>
          <w:rFonts w:asciiTheme="minorHAnsi" w:hAnsiTheme="minorHAnsi"/>
          <w:spacing w:val="-1"/>
        </w:rPr>
        <w:t xml:space="preserve"> used</w:t>
      </w:r>
      <w:r w:rsidR="003A2BC3">
        <w:rPr>
          <w:rFonts w:asciiTheme="minorHAnsi" w:hAnsiTheme="minorHAnsi"/>
          <w:spacing w:val="-1"/>
        </w:rPr>
        <w:t xml:space="preserve"> in</w:t>
      </w:r>
      <w:r w:rsidR="00277EE7">
        <w:rPr>
          <w:rFonts w:asciiTheme="minorHAnsi" w:hAnsiTheme="minorHAnsi"/>
          <w:spacing w:val="-1"/>
        </w:rPr>
        <w:t>clud</w:t>
      </w:r>
      <w:r w:rsidR="003A2BC3">
        <w:rPr>
          <w:rFonts w:asciiTheme="minorHAnsi" w:hAnsiTheme="minorHAnsi"/>
          <w:spacing w:val="-1"/>
        </w:rPr>
        <w:t xml:space="preserve">ed </w:t>
      </w:r>
      <w:r w:rsidR="003A2BC3" w:rsidRPr="00AD5CE8">
        <w:rPr>
          <w:rFonts w:asciiTheme="minorHAnsi" w:hAnsiTheme="minorHAnsi"/>
          <w:spacing w:val="-1"/>
        </w:rPr>
        <w:t>identification of a comprehensive list of quality measures currently being used in post-acute care settings</w:t>
      </w:r>
      <w:r w:rsidR="003A2BC3">
        <w:rPr>
          <w:rFonts w:asciiTheme="minorHAnsi" w:hAnsiTheme="minorHAnsi"/>
          <w:spacing w:val="-1"/>
        </w:rPr>
        <w:t xml:space="preserve">; an email survey of </w:t>
      </w:r>
      <w:r w:rsidR="003A2BC3" w:rsidRPr="00AD5CE8">
        <w:rPr>
          <w:rFonts w:asciiTheme="minorHAnsi" w:hAnsiTheme="minorHAnsi"/>
          <w:spacing w:val="-1"/>
        </w:rPr>
        <w:t>State Office of Rural He</w:t>
      </w:r>
      <w:r w:rsidR="003A2BC3">
        <w:rPr>
          <w:rFonts w:asciiTheme="minorHAnsi" w:hAnsiTheme="minorHAnsi"/>
          <w:spacing w:val="-1"/>
        </w:rPr>
        <w:t>alth (SORH) and Flex Program staff; a series of key informant interviews with CAH networks, CAHs and consultant groups; an online survey of CAH quality experts</w:t>
      </w:r>
      <w:r w:rsidR="001E429D">
        <w:rPr>
          <w:rFonts w:asciiTheme="minorHAnsi" w:hAnsiTheme="minorHAnsi"/>
          <w:spacing w:val="-1"/>
        </w:rPr>
        <w:t>; and further revision of measure specifications in collaboration with health care consultants</w:t>
      </w:r>
      <w:r w:rsidR="00587AE5">
        <w:rPr>
          <w:rFonts w:asciiTheme="minorHAnsi" w:hAnsiTheme="minorHAnsi"/>
          <w:spacing w:val="-1"/>
        </w:rPr>
        <w:t>.</w:t>
      </w:r>
    </w:p>
    <w:p w14:paraId="75D19BAE" w14:textId="77777777" w:rsidR="00092D69" w:rsidRPr="008F100A" w:rsidRDefault="00092D69" w:rsidP="003916D5">
      <w:pPr>
        <w:pStyle w:val="BodyText"/>
        <w:spacing w:line="480" w:lineRule="auto"/>
        <w:ind w:left="0" w:right="129"/>
        <w:rPr>
          <w:rFonts w:asciiTheme="minorHAnsi" w:hAnsiTheme="minorHAnsi"/>
        </w:rPr>
      </w:pPr>
    </w:p>
    <w:p w14:paraId="2B9B08D3" w14:textId="712BB9E6" w:rsidR="007E5CB5" w:rsidRPr="008F100A" w:rsidRDefault="001F7F0E" w:rsidP="003916D5">
      <w:pPr>
        <w:spacing w:after="0" w:line="480" w:lineRule="auto"/>
        <w:rPr>
          <w:bCs/>
        </w:rPr>
      </w:pPr>
      <w:r>
        <w:t>Th</w:t>
      </w:r>
      <w:r w:rsidR="00DE58C7">
        <w:t xml:space="preserve">is </w:t>
      </w:r>
      <w:r w:rsidR="00D96A89">
        <w:t>study’s</w:t>
      </w:r>
      <w:r>
        <w:t xml:space="preserve"> selection of quality measures for CAH </w:t>
      </w:r>
      <w:r w:rsidR="00436120">
        <w:t>swing bed</w:t>
      </w:r>
      <w:r>
        <w:t xml:space="preserve">s </w:t>
      </w:r>
      <w:r w:rsidR="00BE6A62" w:rsidRPr="008F100A">
        <w:rPr>
          <w:bCs/>
        </w:rPr>
        <w:t xml:space="preserve">focused on outcome and functional status measures for </w:t>
      </w:r>
      <w:r w:rsidR="00672E3B" w:rsidRPr="008F100A">
        <w:rPr>
          <w:bCs/>
        </w:rPr>
        <w:t>two main</w:t>
      </w:r>
      <w:r w:rsidR="00BE6A62" w:rsidRPr="008F100A">
        <w:rPr>
          <w:bCs/>
        </w:rPr>
        <w:t xml:space="preserve"> reasons. First, </w:t>
      </w:r>
      <w:r w:rsidR="00672E3B" w:rsidRPr="008F100A">
        <w:rPr>
          <w:bCs/>
        </w:rPr>
        <w:t xml:space="preserve">outcome and functional status measures </w:t>
      </w:r>
      <w:r w:rsidR="00CA6D8C">
        <w:rPr>
          <w:bCs/>
        </w:rPr>
        <w:t>we</w:t>
      </w:r>
      <w:r w:rsidR="00672E3B" w:rsidRPr="008F100A">
        <w:rPr>
          <w:bCs/>
        </w:rPr>
        <w:t xml:space="preserve">re consistent with </w:t>
      </w:r>
      <w:r>
        <w:rPr>
          <w:bCs/>
        </w:rPr>
        <w:t>the</w:t>
      </w:r>
      <w:r w:rsidR="00563303" w:rsidRPr="008F100A">
        <w:rPr>
          <w:bCs/>
        </w:rPr>
        <w:t xml:space="preserve"> interview </w:t>
      </w:r>
      <w:r w:rsidR="00BE6A62" w:rsidRPr="008F100A">
        <w:rPr>
          <w:bCs/>
        </w:rPr>
        <w:t>respondents</w:t>
      </w:r>
      <w:r w:rsidR="00EA6C92" w:rsidRPr="008F100A">
        <w:rPr>
          <w:bCs/>
        </w:rPr>
        <w:t xml:space="preserve">’ </w:t>
      </w:r>
      <w:r w:rsidR="00BE6A62" w:rsidRPr="008F100A">
        <w:rPr>
          <w:bCs/>
        </w:rPr>
        <w:t>reported motivat</w:t>
      </w:r>
      <w:r w:rsidR="00672E3B" w:rsidRPr="008F100A">
        <w:rPr>
          <w:bCs/>
        </w:rPr>
        <w:t xml:space="preserve">ions for assessing </w:t>
      </w:r>
      <w:r w:rsidR="00BE6A62" w:rsidRPr="008F100A">
        <w:rPr>
          <w:bCs/>
        </w:rPr>
        <w:t xml:space="preserve">CAH </w:t>
      </w:r>
      <w:r w:rsidR="00436120">
        <w:rPr>
          <w:bCs/>
        </w:rPr>
        <w:t>swing bed</w:t>
      </w:r>
      <w:r w:rsidR="00BE6A62" w:rsidRPr="008F100A">
        <w:rPr>
          <w:bCs/>
        </w:rPr>
        <w:t xml:space="preserve"> quality</w:t>
      </w:r>
      <w:r w:rsidR="00283E8A">
        <w:rPr>
          <w:bCs/>
        </w:rPr>
        <w:t xml:space="preserve">, including 1) </w:t>
      </w:r>
      <w:r w:rsidR="00EA6C92" w:rsidRPr="008F100A">
        <w:rPr>
          <w:bCs/>
        </w:rPr>
        <w:t xml:space="preserve">to </w:t>
      </w:r>
      <w:r w:rsidR="00BE6A62" w:rsidRPr="008F100A">
        <w:rPr>
          <w:bCs/>
        </w:rPr>
        <w:t xml:space="preserve">assess whether </w:t>
      </w:r>
      <w:r w:rsidR="000A155E">
        <w:rPr>
          <w:bCs/>
        </w:rPr>
        <w:t xml:space="preserve">CAH </w:t>
      </w:r>
      <w:r w:rsidR="00436120">
        <w:rPr>
          <w:bCs/>
        </w:rPr>
        <w:t>swing bed</w:t>
      </w:r>
      <w:r w:rsidR="00EA6C92" w:rsidRPr="008F100A">
        <w:rPr>
          <w:bCs/>
        </w:rPr>
        <w:t xml:space="preserve"> </w:t>
      </w:r>
      <w:r w:rsidR="00BE6A62" w:rsidRPr="008F100A">
        <w:rPr>
          <w:bCs/>
        </w:rPr>
        <w:t xml:space="preserve">patients are getting appropriate care, help them return home as quickly as possible, and prevent hospital readmissions; 2) </w:t>
      </w:r>
      <w:r w:rsidR="00EA6C92" w:rsidRPr="008F100A">
        <w:rPr>
          <w:bCs/>
        </w:rPr>
        <w:t xml:space="preserve">to </w:t>
      </w:r>
      <w:r w:rsidR="00BE6A62" w:rsidRPr="008F100A">
        <w:rPr>
          <w:bCs/>
        </w:rPr>
        <w:t xml:space="preserve">market CAH </w:t>
      </w:r>
      <w:r w:rsidR="00436120">
        <w:rPr>
          <w:bCs/>
        </w:rPr>
        <w:t>swing bed</w:t>
      </w:r>
      <w:r w:rsidR="00BE6A62" w:rsidRPr="008F100A">
        <w:rPr>
          <w:bCs/>
        </w:rPr>
        <w:t xml:space="preserve"> programs, </w:t>
      </w:r>
      <w:r w:rsidR="002A0ED0" w:rsidRPr="008F100A">
        <w:rPr>
          <w:bCs/>
        </w:rPr>
        <w:t xml:space="preserve">allow CAHs to participate in alternative payment contracts, </w:t>
      </w:r>
      <w:r w:rsidR="00BE6A62" w:rsidRPr="008F100A">
        <w:rPr>
          <w:bCs/>
        </w:rPr>
        <w:t xml:space="preserve">increase CAH </w:t>
      </w:r>
      <w:r w:rsidR="00436120">
        <w:rPr>
          <w:bCs/>
        </w:rPr>
        <w:t>swing bed</w:t>
      </w:r>
      <w:r w:rsidR="00BE6A62" w:rsidRPr="008F100A">
        <w:rPr>
          <w:bCs/>
        </w:rPr>
        <w:t xml:space="preserve"> patient volume, and compare the quality of CAH </w:t>
      </w:r>
      <w:r w:rsidR="00436120">
        <w:rPr>
          <w:bCs/>
        </w:rPr>
        <w:t>swing bed</w:t>
      </w:r>
      <w:r w:rsidR="00BE6A62" w:rsidRPr="008F100A">
        <w:rPr>
          <w:bCs/>
        </w:rPr>
        <w:t xml:space="preserve"> care to SNF care; and 3) to ensure that CAHs are in compliance with CMS intent and require</w:t>
      </w:r>
      <w:r w:rsidR="00587AE5">
        <w:rPr>
          <w:bCs/>
        </w:rPr>
        <w:t xml:space="preserve">ments regarding </w:t>
      </w:r>
      <w:r w:rsidR="00436120">
        <w:rPr>
          <w:bCs/>
        </w:rPr>
        <w:t>swing bed</w:t>
      </w:r>
      <w:r w:rsidR="00587AE5">
        <w:rPr>
          <w:bCs/>
        </w:rPr>
        <w:t xml:space="preserve"> care.</w:t>
      </w:r>
    </w:p>
    <w:p w14:paraId="75AE5360" w14:textId="77777777" w:rsidR="007E5CB5" w:rsidRPr="008F100A" w:rsidRDefault="007E5CB5" w:rsidP="003916D5">
      <w:pPr>
        <w:spacing w:after="0" w:line="480" w:lineRule="auto"/>
        <w:rPr>
          <w:bCs/>
        </w:rPr>
      </w:pPr>
    </w:p>
    <w:p w14:paraId="3BC18A14" w14:textId="43C62E8A" w:rsidR="00BE6A62" w:rsidRPr="00115870" w:rsidRDefault="00BE6A62" w:rsidP="003916D5">
      <w:pPr>
        <w:spacing w:after="0" w:line="480" w:lineRule="auto"/>
        <w:rPr>
          <w:bCs/>
        </w:rPr>
      </w:pPr>
      <w:r w:rsidRPr="008F100A">
        <w:rPr>
          <w:bCs/>
        </w:rPr>
        <w:t xml:space="preserve">Second, </w:t>
      </w:r>
      <w:r w:rsidR="00563303" w:rsidRPr="008F100A">
        <w:rPr>
          <w:bCs/>
        </w:rPr>
        <w:t xml:space="preserve">a focus on </w:t>
      </w:r>
      <w:r w:rsidR="00BE08BD" w:rsidRPr="008F100A">
        <w:rPr>
          <w:bCs/>
        </w:rPr>
        <w:t xml:space="preserve">outcome and functional status </w:t>
      </w:r>
      <w:r w:rsidR="002A0ED0" w:rsidRPr="008F100A">
        <w:rPr>
          <w:bCs/>
        </w:rPr>
        <w:t xml:space="preserve">measures </w:t>
      </w:r>
      <w:r w:rsidR="00746C4A" w:rsidRPr="008F100A">
        <w:rPr>
          <w:bCs/>
        </w:rPr>
        <w:t xml:space="preserve">aligns with </w:t>
      </w:r>
      <w:r w:rsidR="002A0ED0" w:rsidRPr="008F100A">
        <w:rPr>
          <w:bCs/>
        </w:rPr>
        <w:t xml:space="preserve">the </w:t>
      </w:r>
      <w:r w:rsidR="00F17379" w:rsidRPr="008F100A">
        <w:rPr>
          <w:bCs/>
        </w:rPr>
        <w:t xml:space="preserve">priorities </w:t>
      </w:r>
      <w:r w:rsidR="009B714E" w:rsidRPr="008F100A">
        <w:rPr>
          <w:bCs/>
        </w:rPr>
        <w:t xml:space="preserve">of the </w:t>
      </w:r>
      <w:r w:rsidR="002A0ED0" w:rsidRPr="008F100A">
        <w:rPr>
          <w:bCs/>
        </w:rPr>
        <w:t xml:space="preserve">IMPACT Act of 2014, which required CMS </w:t>
      </w:r>
      <w:r w:rsidR="009B714E" w:rsidRPr="008F100A">
        <w:rPr>
          <w:bCs/>
        </w:rPr>
        <w:t xml:space="preserve">to </w:t>
      </w:r>
      <w:r w:rsidR="002A0ED0" w:rsidRPr="008F100A">
        <w:rPr>
          <w:bCs/>
        </w:rPr>
        <w:t>develop and implement</w:t>
      </w:r>
      <w:r w:rsidR="009B714E" w:rsidRPr="008F100A">
        <w:rPr>
          <w:bCs/>
        </w:rPr>
        <w:t xml:space="preserve"> </w:t>
      </w:r>
      <w:r w:rsidR="00283E8A">
        <w:rPr>
          <w:bCs/>
        </w:rPr>
        <w:t xml:space="preserve">quality </w:t>
      </w:r>
      <w:r w:rsidR="002A0ED0" w:rsidRPr="008F100A">
        <w:rPr>
          <w:bCs/>
        </w:rPr>
        <w:t xml:space="preserve">measures </w:t>
      </w:r>
      <w:r w:rsidR="00283E8A" w:rsidRPr="00283E8A">
        <w:rPr>
          <w:bCs/>
        </w:rPr>
        <w:t xml:space="preserve">for post-acute settings </w:t>
      </w:r>
      <w:r w:rsidR="00283E8A">
        <w:rPr>
          <w:bCs/>
        </w:rPr>
        <w:t xml:space="preserve">related </w:t>
      </w:r>
      <w:r w:rsidR="00283E8A" w:rsidRPr="00283E8A">
        <w:rPr>
          <w:bCs/>
        </w:rPr>
        <w:t xml:space="preserve">to </w:t>
      </w:r>
      <w:r w:rsidR="00283E8A">
        <w:rPr>
          <w:bCs/>
        </w:rPr>
        <w:t xml:space="preserve">outcomes such as </w:t>
      </w:r>
      <w:r w:rsidR="00283E8A" w:rsidRPr="00283E8A">
        <w:rPr>
          <w:bCs/>
        </w:rPr>
        <w:t xml:space="preserve">discharge to the community; potentially preventable hospital </w:t>
      </w:r>
      <w:r w:rsidR="00283E8A" w:rsidRPr="00283E8A">
        <w:rPr>
          <w:bCs/>
        </w:rPr>
        <w:lastRenderedPageBreak/>
        <w:t>readmissions; and resource use</w:t>
      </w:r>
      <w:r w:rsidR="00283E8A">
        <w:rPr>
          <w:bCs/>
        </w:rPr>
        <w:t>, as well as measures</w:t>
      </w:r>
      <w:r w:rsidR="00283E8A" w:rsidRPr="00283E8A">
        <w:rPr>
          <w:bCs/>
        </w:rPr>
        <w:t xml:space="preserve"> </w:t>
      </w:r>
      <w:r w:rsidR="00283E8A">
        <w:rPr>
          <w:bCs/>
        </w:rPr>
        <w:t xml:space="preserve">in </w:t>
      </w:r>
      <w:r w:rsidR="002A0ED0" w:rsidRPr="008F100A">
        <w:rPr>
          <w:bCs/>
        </w:rPr>
        <w:t xml:space="preserve">five </w:t>
      </w:r>
      <w:r w:rsidR="00283E8A">
        <w:rPr>
          <w:bCs/>
        </w:rPr>
        <w:t xml:space="preserve">quality </w:t>
      </w:r>
      <w:r w:rsidR="002A0ED0" w:rsidRPr="008F100A">
        <w:rPr>
          <w:bCs/>
        </w:rPr>
        <w:t>domains</w:t>
      </w:r>
      <w:r w:rsidR="001C6713">
        <w:rPr>
          <w:bCs/>
        </w:rPr>
        <w:t>, including</w:t>
      </w:r>
      <w:r w:rsidR="00D94752">
        <w:rPr>
          <w:bCs/>
        </w:rPr>
        <w:t>:</w:t>
      </w:r>
      <w:r w:rsidR="001C6713">
        <w:rPr>
          <w:bCs/>
        </w:rPr>
        <w:t xml:space="preserve"> 1) </w:t>
      </w:r>
      <w:r w:rsidR="009B714E" w:rsidRPr="008F100A">
        <w:rPr>
          <w:bCs/>
        </w:rPr>
        <w:t xml:space="preserve">skin integrity/changes in skin integrity; </w:t>
      </w:r>
      <w:r w:rsidR="001C6713">
        <w:rPr>
          <w:bCs/>
        </w:rPr>
        <w:t xml:space="preserve">2) </w:t>
      </w:r>
      <w:r w:rsidR="009B714E" w:rsidRPr="008F100A">
        <w:rPr>
          <w:bCs/>
        </w:rPr>
        <w:t>functional status, cognitive fu</w:t>
      </w:r>
      <w:r w:rsidR="00926950">
        <w:rPr>
          <w:bCs/>
        </w:rPr>
        <w:t xml:space="preserve">nction, and changes in functional status </w:t>
      </w:r>
      <w:r w:rsidR="009B714E" w:rsidRPr="008F100A">
        <w:rPr>
          <w:bCs/>
        </w:rPr>
        <w:t xml:space="preserve">and cognitive function; </w:t>
      </w:r>
      <w:r w:rsidR="001C6713">
        <w:rPr>
          <w:bCs/>
        </w:rPr>
        <w:t xml:space="preserve">3) </w:t>
      </w:r>
      <w:r w:rsidR="009B714E" w:rsidRPr="008F100A">
        <w:rPr>
          <w:bCs/>
        </w:rPr>
        <w:t xml:space="preserve">medication reconciliation; </w:t>
      </w:r>
      <w:r w:rsidR="001C6713">
        <w:rPr>
          <w:bCs/>
        </w:rPr>
        <w:t xml:space="preserve">4) </w:t>
      </w:r>
      <w:r w:rsidR="009B714E" w:rsidRPr="008F100A">
        <w:rPr>
          <w:bCs/>
        </w:rPr>
        <w:t xml:space="preserve">incidence of major falls; and </w:t>
      </w:r>
      <w:r w:rsidR="001C6713">
        <w:rPr>
          <w:bCs/>
        </w:rPr>
        <w:t xml:space="preserve">5) </w:t>
      </w:r>
      <w:r w:rsidR="009B714E" w:rsidRPr="008F100A">
        <w:rPr>
          <w:bCs/>
        </w:rPr>
        <w:t>transfer of health information and care preferences when an individual transitions</w:t>
      </w:r>
      <w:r w:rsidR="00F17379" w:rsidRPr="008F100A">
        <w:rPr>
          <w:bCs/>
        </w:rPr>
        <w:t>.</w:t>
      </w:r>
      <w:r w:rsidR="00587AE5">
        <w:rPr>
          <w:bCs/>
          <w:vertAlign w:val="superscript"/>
        </w:rPr>
        <w:t>7</w:t>
      </w:r>
    </w:p>
    <w:p w14:paraId="0ADAF304" w14:textId="77777777" w:rsidR="00681FFE" w:rsidRPr="00115870" w:rsidRDefault="00681FFE" w:rsidP="003916D5">
      <w:pPr>
        <w:spacing w:after="0" w:line="480" w:lineRule="auto"/>
        <w:rPr>
          <w:bCs/>
        </w:rPr>
      </w:pPr>
    </w:p>
    <w:p w14:paraId="0CA99A73" w14:textId="77777777" w:rsidR="003E3FA6" w:rsidRPr="003E3FA6" w:rsidRDefault="003E3FA6" w:rsidP="003916D5">
      <w:pPr>
        <w:spacing w:after="0" w:line="480" w:lineRule="auto"/>
        <w:rPr>
          <w:i/>
        </w:rPr>
      </w:pPr>
      <w:r w:rsidRPr="003E3FA6">
        <w:rPr>
          <w:i/>
        </w:rPr>
        <w:t>Outcome Measures</w:t>
      </w:r>
    </w:p>
    <w:p w14:paraId="531FD671" w14:textId="65EB0FFD" w:rsidR="00A31003" w:rsidRDefault="00D96A89" w:rsidP="003916D5">
      <w:pPr>
        <w:spacing w:after="0" w:line="480" w:lineRule="auto"/>
      </w:pPr>
      <w:r>
        <w:t>Two types of o</w:t>
      </w:r>
      <w:r w:rsidR="002C0E86">
        <w:t xml:space="preserve">utcome measures </w:t>
      </w:r>
      <w:r>
        <w:t xml:space="preserve">were selected </w:t>
      </w:r>
      <w:r w:rsidR="002C0E86">
        <w:t xml:space="preserve">for CAH </w:t>
      </w:r>
      <w:r w:rsidR="00436120">
        <w:t>swing bed</w:t>
      </w:r>
      <w:r w:rsidR="002C0E86">
        <w:t xml:space="preserve"> patients</w:t>
      </w:r>
      <w:r>
        <w:t xml:space="preserve">: </w:t>
      </w:r>
      <w:r w:rsidRPr="00D96A89">
        <w:t xml:space="preserve">discharge of </w:t>
      </w:r>
      <w:r w:rsidR="00436120">
        <w:t>swing bed</w:t>
      </w:r>
      <w:r w:rsidRPr="00D96A89">
        <w:t xml:space="preserve"> patients to the community </w:t>
      </w:r>
      <w:r w:rsidR="003A16BC">
        <w:t>or prior residence and 30-day follow-up status</w:t>
      </w:r>
      <w:r w:rsidRPr="00D96A89">
        <w:t xml:space="preserve"> after a </w:t>
      </w:r>
      <w:r w:rsidR="00436120">
        <w:t>swing bed</w:t>
      </w:r>
      <w:r w:rsidRPr="00D96A89">
        <w:t xml:space="preserve"> stay (Table 1).</w:t>
      </w:r>
      <w:r w:rsidR="009D4C1C" w:rsidRPr="009D4C1C">
        <w:t xml:space="preserve"> </w:t>
      </w:r>
      <w:r w:rsidR="00000D94">
        <w:t xml:space="preserve"> </w:t>
      </w:r>
      <w:r w:rsidR="009D4C1C" w:rsidRPr="001E429D">
        <w:t xml:space="preserve">The purpose of the recommended discharge disposition measures is to assess whether a CAH </w:t>
      </w:r>
      <w:r w:rsidR="00436120">
        <w:t>swing bed</w:t>
      </w:r>
      <w:r w:rsidR="009D4C1C" w:rsidRPr="001E429D">
        <w:t xml:space="preserve"> program is successfully returning discharged patients to the community</w:t>
      </w:r>
      <w:r w:rsidR="005436D8" w:rsidRPr="003B4B78">
        <w:t xml:space="preserve"> or</w:t>
      </w:r>
      <w:r w:rsidR="0005624E" w:rsidRPr="003B4B78">
        <w:t xml:space="preserve"> </w:t>
      </w:r>
      <w:r w:rsidR="005436D8" w:rsidRPr="003B4B78">
        <w:t>prior residence</w:t>
      </w:r>
      <w:r w:rsidR="009D4C1C" w:rsidRPr="001E429D">
        <w:t>. For quality improvement</w:t>
      </w:r>
      <w:r w:rsidR="00E31F06">
        <w:t xml:space="preserve"> purposes</w:t>
      </w:r>
      <w:r w:rsidR="009D4C1C" w:rsidRPr="001E429D">
        <w:t xml:space="preserve">, we recommend that each CAH </w:t>
      </w:r>
      <w:r w:rsidR="00436120">
        <w:t>swing bed</w:t>
      </w:r>
      <w:r w:rsidR="009D4C1C" w:rsidRPr="001E429D">
        <w:t xml:space="preserve"> program track the </w:t>
      </w:r>
      <w:r w:rsidR="0005624E" w:rsidRPr="003B4B78">
        <w:t xml:space="preserve">residence of each </w:t>
      </w:r>
      <w:r w:rsidR="00436120">
        <w:t>swing bed</w:t>
      </w:r>
      <w:r w:rsidR="0005624E" w:rsidRPr="003B4B78">
        <w:t xml:space="preserve"> patient prior to the </w:t>
      </w:r>
      <w:r w:rsidR="001E429D">
        <w:t>inpatient admission</w:t>
      </w:r>
      <w:r w:rsidR="0005624E" w:rsidRPr="003B4B78">
        <w:t xml:space="preserve"> that usually precedes a </w:t>
      </w:r>
      <w:r w:rsidR="00436120">
        <w:t>swing bed</w:t>
      </w:r>
      <w:r w:rsidR="0005624E" w:rsidRPr="003B4B78">
        <w:t xml:space="preserve"> stay (e.g., community, nursing home</w:t>
      </w:r>
      <w:r w:rsidR="006B7909">
        <w:t xml:space="preserve">, </w:t>
      </w:r>
      <w:r w:rsidR="0005624E" w:rsidRPr="003B4B78">
        <w:t xml:space="preserve">etc.) as well as their </w:t>
      </w:r>
      <w:r w:rsidR="009D4C1C" w:rsidRPr="001E429D">
        <w:t xml:space="preserve">discharge disposition </w:t>
      </w:r>
      <w:r w:rsidR="0005624E" w:rsidRPr="003B4B78">
        <w:t xml:space="preserve">after the </w:t>
      </w:r>
      <w:r w:rsidR="00436120">
        <w:t>swing bed</w:t>
      </w:r>
      <w:r w:rsidR="0005624E" w:rsidRPr="003B4B78">
        <w:t xml:space="preserve"> stay (e.g., </w:t>
      </w:r>
      <w:r w:rsidR="009D4C1C" w:rsidRPr="001E429D">
        <w:t>community, nursing home, return to inpatient acute care</w:t>
      </w:r>
      <w:r w:rsidR="0005624E" w:rsidRPr="003B4B78">
        <w:t>, etc.</w:t>
      </w:r>
      <w:r w:rsidR="009D4C1C" w:rsidRPr="001E429D">
        <w:t>).</w:t>
      </w:r>
    </w:p>
    <w:p w14:paraId="4A73E124" w14:textId="60612619" w:rsidR="009D4C1C" w:rsidRDefault="009D4C1C" w:rsidP="003916D5">
      <w:pPr>
        <w:spacing w:after="0" w:line="480" w:lineRule="auto"/>
      </w:pPr>
    </w:p>
    <w:p w14:paraId="5A910E46" w14:textId="2168314F" w:rsidR="000A7AFE" w:rsidRDefault="00BC094F" w:rsidP="003916D5">
      <w:pPr>
        <w:spacing w:after="0" w:line="480" w:lineRule="auto"/>
      </w:pPr>
      <w:r w:rsidRPr="008756D2">
        <w:t>The purpose of th</w:t>
      </w:r>
      <w:r w:rsidR="009D4C1C" w:rsidRPr="008756D2">
        <w:t xml:space="preserve">e recommended </w:t>
      </w:r>
      <w:r w:rsidR="0005624E" w:rsidRPr="00036FB0">
        <w:t xml:space="preserve">30-day follow-up </w:t>
      </w:r>
      <w:r w:rsidR="009D4C1C" w:rsidRPr="008756D2">
        <w:t>measu</w:t>
      </w:r>
      <w:r w:rsidRPr="00A72492">
        <w:t>re</w:t>
      </w:r>
      <w:r w:rsidR="009D4C1C" w:rsidRPr="00A72492">
        <w:t>s</w:t>
      </w:r>
      <w:r w:rsidRPr="00A72492">
        <w:t xml:space="preserve"> is to assess whether </w:t>
      </w:r>
      <w:r w:rsidR="00563303" w:rsidRPr="00A72492">
        <w:t xml:space="preserve">a </w:t>
      </w:r>
      <w:r w:rsidRPr="00A72492">
        <w:t xml:space="preserve">CAH </w:t>
      </w:r>
      <w:r w:rsidR="00436120">
        <w:t>swing bed</w:t>
      </w:r>
      <w:r w:rsidRPr="00A72492">
        <w:t xml:space="preserve"> program is successfully preventing u</w:t>
      </w:r>
      <w:r w:rsidR="0015070A" w:rsidRPr="00A72492">
        <w:t xml:space="preserve">nplanned </w:t>
      </w:r>
      <w:r w:rsidR="0005624E" w:rsidRPr="00036FB0">
        <w:t xml:space="preserve">returns to </w:t>
      </w:r>
      <w:r w:rsidR="006B7909">
        <w:t>a</w:t>
      </w:r>
      <w:r w:rsidR="0005624E" w:rsidRPr="00036FB0">
        <w:t xml:space="preserve"> </w:t>
      </w:r>
      <w:r w:rsidR="0015070A" w:rsidRPr="008756D2">
        <w:t>hospital</w:t>
      </w:r>
      <w:r w:rsidR="0015070A" w:rsidRPr="00A72492">
        <w:t xml:space="preserve">. </w:t>
      </w:r>
      <w:r w:rsidR="00A21E7F" w:rsidRPr="00A72492">
        <w:t>For quality improvement</w:t>
      </w:r>
      <w:r w:rsidRPr="00A72492">
        <w:t xml:space="preserve"> purposes</w:t>
      </w:r>
      <w:r w:rsidR="00A21E7F" w:rsidRPr="00A72492">
        <w:t xml:space="preserve">, we recommend that </w:t>
      </w:r>
      <w:r w:rsidR="00E92D25" w:rsidRPr="00A72492">
        <w:t xml:space="preserve">each </w:t>
      </w:r>
      <w:bookmarkStart w:id="8" w:name="_Hlk24991235"/>
      <w:r w:rsidR="00E92D25" w:rsidRPr="00A72492">
        <w:t xml:space="preserve">CAH </w:t>
      </w:r>
      <w:r w:rsidR="00436120">
        <w:t>swing bed</w:t>
      </w:r>
      <w:r w:rsidR="00E92D25" w:rsidRPr="00A72492">
        <w:t xml:space="preserve"> program</w:t>
      </w:r>
      <w:r w:rsidR="002F7AE7" w:rsidRPr="00A72492">
        <w:t xml:space="preserve"> </w:t>
      </w:r>
      <w:r w:rsidR="00A21E7F" w:rsidRPr="00A72492">
        <w:t xml:space="preserve">track the number </w:t>
      </w:r>
      <w:r w:rsidR="00E92D25" w:rsidRPr="00A72492">
        <w:t xml:space="preserve">and percent </w:t>
      </w:r>
      <w:r w:rsidR="00A21E7F" w:rsidRPr="00A72492">
        <w:t xml:space="preserve">of </w:t>
      </w:r>
      <w:r w:rsidR="00E92D25" w:rsidRPr="00A72492">
        <w:t xml:space="preserve">their </w:t>
      </w:r>
      <w:r w:rsidR="00A21E7F" w:rsidRPr="00A72492">
        <w:t xml:space="preserve">discharged CAH </w:t>
      </w:r>
      <w:r w:rsidR="00436120">
        <w:t>swing bed</w:t>
      </w:r>
      <w:r w:rsidR="00A21E7F" w:rsidRPr="00A72492">
        <w:t xml:space="preserve"> patients who are readmitted for </w:t>
      </w:r>
      <w:r w:rsidR="00E92D25" w:rsidRPr="00A72492">
        <w:t xml:space="preserve">an </w:t>
      </w:r>
      <w:r w:rsidR="00A21E7F" w:rsidRPr="00A72492">
        <w:t>unplanned hospital inpatient stay</w:t>
      </w:r>
      <w:r w:rsidR="008756D2" w:rsidRPr="00036FB0">
        <w:t xml:space="preserve">, have an </w:t>
      </w:r>
      <w:r w:rsidR="00E31F06">
        <w:t xml:space="preserve">ED </w:t>
      </w:r>
      <w:r w:rsidR="008756D2" w:rsidRPr="00036FB0">
        <w:t xml:space="preserve"> visit, and/or an observation stay, either at </w:t>
      </w:r>
      <w:r w:rsidR="0005624E" w:rsidRPr="00036FB0">
        <w:t xml:space="preserve">the CAH or another </w:t>
      </w:r>
      <w:r w:rsidRPr="008756D2">
        <w:t>hospital</w:t>
      </w:r>
      <w:r w:rsidR="00535D17">
        <w:t>,</w:t>
      </w:r>
      <w:r w:rsidR="006B7909">
        <w:t xml:space="preserve"> or</w:t>
      </w:r>
      <w:r w:rsidR="00535D17">
        <w:t xml:space="preserve"> have</w:t>
      </w:r>
      <w:r w:rsidR="006B7909">
        <w:t xml:space="preserve"> another </w:t>
      </w:r>
      <w:r w:rsidR="00436120">
        <w:t>swing bed</w:t>
      </w:r>
      <w:r w:rsidR="006B7909">
        <w:t>/SNF admission</w:t>
      </w:r>
      <w:r w:rsidR="002B4466" w:rsidRPr="00A72492">
        <w:t xml:space="preserve"> within 30 days of discharge</w:t>
      </w:r>
      <w:bookmarkEnd w:id="8"/>
      <w:r w:rsidR="008756D2" w:rsidRPr="00036FB0">
        <w:t>. The CAH should track whether the readmission, ED visit</w:t>
      </w:r>
      <w:r w:rsidR="001E429D">
        <w:t>,</w:t>
      </w:r>
      <w:r w:rsidR="008756D2" w:rsidRPr="00036FB0">
        <w:t xml:space="preserve"> or </w:t>
      </w:r>
      <w:r w:rsidR="008756D2" w:rsidRPr="00036FB0">
        <w:lastRenderedPageBreak/>
        <w:t xml:space="preserve">observation stay is for the same/related condition as the </w:t>
      </w:r>
      <w:r w:rsidR="00436120">
        <w:t>swing bed</w:t>
      </w:r>
      <w:r w:rsidR="008756D2" w:rsidRPr="00036FB0">
        <w:t xml:space="preserve"> stay, or a new condition</w:t>
      </w:r>
      <w:r w:rsidR="00563303" w:rsidRPr="008756D2">
        <w:t>,</w:t>
      </w:r>
      <w:r w:rsidRPr="008756D2">
        <w:t xml:space="preserve"> </w:t>
      </w:r>
      <w:r w:rsidR="00A21E7F" w:rsidRPr="008756D2">
        <w:t xml:space="preserve">using </w:t>
      </w:r>
      <w:r w:rsidRPr="008756D2">
        <w:t xml:space="preserve">a combination of </w:t>
      </w:r>
      <w:r w:rsidR="00A21E7F" w:rsidRPr="00A72492">
        <w:t xml:space="preserve">hospital admission </w:t>
      </w:r>
      <w:r w:rsidR="00E92D25" w:rsidRPr="00A72492">
        <w:t xml:space="preserve">records and </w:t>
      </w:r>
      <w:r w:rsidR="001E429D">
        <w:t xml:space="preserve">30-day </w:t>
      </w:r>
      <w:r w:rsidR="00E92D25" w:rsidRPr="00A72492">
        <w:t>follow-up phone calls with discharged patients.</w:t>
      </w:r>
    </w:p>
    <w:p w14:paraId="09DD785D" w14:textId="77777777" w:rsidR="000A7AFE" w:rsidRDefault="000A7AFE" w:rsidP="003916D5">
      <w:pPr>
        <w:spacing w:after="0" w:line="480" w:lineRule="auto"/>
      </w:pPr>
    </w:p>
    <w:p w14:paraId="38DBA3F5" w14:textId="7548A6CB" w:rsidR="00A31003" w:rsidRPr="00A31003" w:rsidRDefault="00587AE5" w:rsidP="003916D5">
      <w:pPr>
        <w:spacing w:after="0" w:line="480" w:lineRule="auto"/>
        <w:rPr>
          <w:i/>
        </w:rPr>
      </w:pPr>
      <w:r>
        <w:rPr>
          <w:i/>
        </w:rPr>
        <w:t>Functional Status Measures</w:t>
      </w:r>
    </w:p>
    <w:p w14:paraId="5D2DC9A4" w14:textId="5DB357B2" w:rsidR="00A31003" w:rsidRDefault="00681FFE" w:rsidP="003916D5">
      <w:pPr>
        <w:spacing w:after="0" w:line="480" w:lineRule="auto"/>
      </w:pPr>
      <w:r>
        <w:t>T</w:t>
      </w:r>
      <w:r w:rsidRPr="008F100A">
        <w:t xml:space="preserve">hree </w:t>
      </w:r>
      <w:r>
        <w:t>instruments</w:t>
      </w:r>
      <w:r w:rsidRPr="008F100A">
        <w:t xml:space="preserve"> </w:t>
      </w:r>
      <w:r>
        <w:t xml:space="preserve">were initially identified </w:t>
      </w:r>
      <w:r w:rsidRPr="008F100A">
        <w:t xml:space="preserve">that could potentially be used for </w:t>
      </w:r>
      <w:r w:rsidR="000A7AFE">
        <w:t xml:space="preserve">calculating </w:t>
      </w:r>
      <w:r>
        <w:t xml:space="preserve">CAH </w:t>
      </w:r>
      <w:r w:rsidR="00436120">
        <w:t>swing bed</w:t>
      </w:r>
      <w:r w:rsidRPr="008F100A">
        <w:t xml:space="preserve"> patient functional assessment</w:t>
      </w:r>
      <w:r>
        <w:t xml:space="preserve"> measures</w:t>
      </w:r>
      <w:r w:rsidRPr="008F100A">
        <w:t xml:space="preserve">: 1) the Functional Independence Measure (FIM), 2) Barthel’s Index, and 3) </w:t>
      </w:r>
      <w:r w:rsidR="000A7AFE">
        <w:t xml:space="preserve">the </w:t>
      </w:r>
      <w:r w:rsidRPr="008F100A">
        <w:t>MDS.</w:t>
      </w:r>
      <w:r w:rsidR="00362C9F">
        <w:t xml:space="preserve"> </w:t>
      </w:r>
      <w:r w:rsidRPr="008F100A">
        <w:t xml:space="preserve">All three </w:t>
      </w:r>
      <w:r>
        <w:t>instruments</w:t>
      </w:r>
      <w:r w:rsidRPr="008F100A">
        <w:t xml:space="preserve"> assess patient performance and need for assistance with activities of daily living.</w:t>
      </w:r>
      <w:r w:rsidR="00587AE5">
        <w:rPr>
          <w:vertAlign w:val="superscript"/>
        </w:rPr>
        <w:t>8-18</w:t>
      </w:r>
      <w:r w:rsidRPr="008F100A">
        <w:t xml:space="preserve"> MDS and FIM are used to classify patients for PPS reimbursement purposes (MDS for Skilled Nursing Facility residents and rural PPS hospital </w:t>
      </w:r>
      <w:r w:rsidR="00436120">
        <w:t>swing bed</w:t>
      </w:r>
      <w:r w:rsidRPr="008F100A">
        <w:t xml:space="preserve"> patients, and FIM for Inpatient Rehabilitation Facility patients). </w:t>
      </w:r>
      <w:r>
        <w:t>Based on the literature, input from the key informant interviews</w:t>
      </w:r>
      <w:r w:rsidR="000A7AFE">
        <w:t xml:space="preserve">, </w:t>
      </w:r>
      <w:r w:rsidR="000D69B3">
        <w:t xml:space="preserve">and </w:t>
      </w:r>
      <w:r w:rsidR="000A7AFE">
        <w:t>the results of</w:t>
      </w:r>
      <w:r>
        <w:t xml:space="preserve"> the online survey of CAH quality experts, we narrowed the choice of instruments to MDS </w:t>
      </w:r>
      <w:r w:rsidRPr="009C4565">
        <w:t>and the Shah version of Barthel’s Index</w:t>
      </w:r>
      <w:r w:rsidR="00D47108">
        <w:t>.</w:t>
      </w:r>
      <w:r w:rsidR="00587AE5">
        <w:rPr>
          <w:vertAlign w:val="superscript"/>
        </w:rPr>
        <w:t>17</w:t>
      </w:r>
      <w:r>
        <w:rPr>
          <w:vertAlign w:val="superscript"/>
        </w:rPr>
        <w:t xml:space="preserve"> </w:t>
      </w:r>
      <w:r w:rsidR="00D47108">
        <w:t>We</w:t>
      </w:r>
      <w:r>
        <w:t xml:space="preserve"> weighed the pros </w:t>
      </w:r>
      <w:r w:rsidRPr="009C4565">
        <w:t xml:space="preserve">and cons of </w:t>
      </w:r>
      <w:r w:rsidR="00D47108">
        <w:t xml:space="preserve">each instrument and selected two MDS-based functional status measures: change in risk-adjusted self-care score between admission and discharge for CAH </w:t>
      </w:r>
      <w:r w:rsidR="00436120">
        <w:t>swing bed</w:t>
      </w:r>
      <w:r w:rsidR="00D47108">
        <w:t xml:space="preserve"> patients, and change in risk-adjusted mobility score between admission and discharge for CAH </w:t>
      </w:r>
      <w:r w:rsidR="00436120">
        <w:t>swing bed</w:t>
      </w:r>
      <w:r w:rsidR="00D47108">
        <w:t xml:space="preserve"> patients (Table 2).</w:t>
      </w:r>
    </w:p>
    <w:p w14:paraId="409D7809" w14:textId="77777777" w:rsidR="000A7AFE" w:rsidRDefault="000A7AFE" w:rsidP="003916D5">
      <w:pPr>
        <w:spacing w:after="0" w:line="480" w:lineRule="auto"/>
      </w:pPr>
    </w:p>
    <w:p w14:paraId="7412DAD7" w14:textId="20530048" w:rsidR="000A7AFE" w:rsidRDefault="000A7AFE" w:rsidP="003916D5">
      <w:pPr>
        <w:spacing w:after="0" w:line="480" w:lineRule="auto"/>
      </w:pPr>
      <w:r w:rsidRPr="008F100A">
        <w:t xml:space="preserve">The factors that weighed most heavily in </w:t>
      </w:r>
      <w:r>
        <w:t xml:space="preserve">the decision to recommend the </w:t>
      </w:r>
      <w:r w:rsidRPr="008F100A">
        <w:t xml:space="preserve">MDS-based </w:t>
      </w:r>
      <w:r>
        <w:t xml:space="preserve">risk-adjusted </w:t>
      </w:r>
      <w:r w:rsidRPr="008F100A">
        <w:t xml:space="preserve">functional status measures for CAH </w:t>
      </w:r>
      <w:r w:rsidR="00436120">
        <w:t>swing bed</w:t>
      </w:r>
      <w:r w:rsidRPr="008F100A">
        <w:t xml:space="preserve">s were their alignment with IMPACT goals, </w:t>
      </w:r>
      <w:r w:rsidRPr="00681FFE">
        <w:t>their approval by NQF for IRFs,</w:t>
      </w:r>
      <w:r>
        <w:t xml:space="preserve"> </w:t>
      </w:r>
      <w:r w:rsidRPr="008F100A">
        <w:t>their adoption by CMS for other post-acute settings,</w:t>
      </w:r>
      <w:r>
        <w:t xml:space="preserve"> </w:t>
      </w:r>
      <w:r w:rsidRPr="008F100A">
        <w:t xml:space="preserve">the fact that detailed measure specifications and risk-adjustment methods have already been developed, </w:t>
      </w:r>
      <w:r>
        <w:t xml:space="preserve">and </w:t>
      </w:r>
      <w:r w:rsidRPr="008F100A">
        <w:t xml:space="preserve">their ability to allow </w:t>
      </w:r>
      <w:bookmarkStart w:id="9" w:name="_Hlk24991467"/>
      <w:r w:rsidRPr="008F100A">
        <w:t xml:space="preserve">comparison of outcomes for CAH </w:t>
      </w:r>
      <w:r w:rsidR="00436120">
        <w:t>swing bed</w:t>
      </w:r>
      <w:r w:rsidRPr="008F100A">
        <w:t xml:space="preserve"> patients with IRF</w:t>
      </w:r>
      <w:r w:rsidR="00D47108">
        <w:t xml:space="preserve">, </w:t>
      </w:r>
      <w:r w:rsidRPr="008F100A">
        <w:t>SNF</w:t>
      </w:r>
      <w:r w:rsidR="00D47108">
        <w:t>,</w:t>
      </w:r>
      <w:r w:rsidRPr="008F100A">
        <w:t xml:space="preserve"> </w:t>
      </w:r>
      <w:r w:rsidR="00EE645D">
        <w:t>long-term care hospitals (LTCH)</w:t>
      </w:r>
      <w:r w:rsidRPr="008F100A">
        <w:t xml:space="preserve">and PPS </w:t>
      </w:r>
      <w:r w:rsidR="00436120">
        <w:t>swing bed</w:t>
      </w:r>
      <w:r w:rsidRPr="008F100A">
        <w:t xml:space="preserve"> patients</w:t>
      </w:r>
      <w:bookmarkEnd w:id="9"/>
      <w:r w:rsidRPr="008F100A">
        <w:t xml:space="preserve">. Although scoring of the MDS self-care and mobility items and collection of the </w:t>
      </w:r>
      <w:r w:rsidRPr="008F100A">
        <w:lastRenderedPageBreak/>
        <w:t xml:space="preserve">data elements for risk-adjusting the measures will clearly involve more staff time than completing the Shah version of the Barthel Index, the MDS-based measures will enable CAHs to do a more comprehensive job of assessing the quality of </w:t>
      </w:r>
      <w:r w:rsidR="00436120">
        <w:t>swing bed</w:t>
      </w:r>
      <w:r w:rsidRPr="008F100A">
        <w:t xml:space="preserve"> care, and allow </w:t>
      </w:r>
      <w:r w:rsidR="00D47108">
        <w:t xml:space="preserve">CAHs </w:t>
      </w:r>
      <w:r w:rsidRPr="008F100A">
        <w:t xml:space="preserve">to compare their </w:t>
      </w:r>
      <w:r w:rsidR="00436120">
        <w:t>swing bed</w:t>
      </w:r>
      <w:r w:rsidRPr="008F100A">
        <w:t xml:space="preserve"> care to that of other post-acute care providers.</w:t>
      </w:r>
    </w:p>
    <w:p w14:paraId="126267B0" w14:textId="77777777" w:rsidR="000A7AFE" w:rsidRDefault="000A7AFE" w:rsidP="003916D5">
      <w:pPr>
        <w:spacing w:after="0" w:line="480" w:lineRule="auto"/>
      </w:pPr>
    </w:p>
    <w:p w14:paraId="64308EE5" w14:textId="74927D7A" w:rsidR="00362C9F" w:rsidRPr="00115870" w:rsidRDefault="00362C9F" w:rsidP="003916D5">
      <w:pPr>
        <w:spacing w:after="0" w:line="480" w:lineRule="auto"/>
      </w:pPr>
      <w:r w:rsidRPr="008F100A">
        <w:t>Th</w:t>
      </w:r>
      <w:r w:rsidR="00D47108">
        <w:t>e</w:t>
      </w:r>
      <w:r w:rsidRPr="008F100A">
        <w:t xml:space="preserve"> risk-adjusted mean change in self-care score between admission and discharge for CAH Medicare </w:t>
      </w:r>
      <w:r w:rsidR="00436120">
        <w:t>swing bed</w:t>
      </w:r>
      <w:r w:rsidRPr="008F100A">
        <w:t xml:space="preserve"> patients discharged from a </w:t>
      </w:r>
      <w:r w:rsidR="00436120">
        <w:t>swing bed</w:t>
      </w:r>
      <w:r w:rsidRPr="008F100A">
        <w:t xml:space="preserve"> is based on the CMS functional outcome measure </w:t>
      </w:r>
      <w:r w:rsidRPr="00EE645D">
        <w:t>adopted for SNFs</w:t>
      </w:r>
      <w:r w:rsidR="00EE645D" w:rsidRPr="00EE645D">
        <w:t>,</w:t>
      </w:r>
      <w:r w:rsidRPr="00EE645D">
        <w:t xml:space="preserve"> IRFs</w:t>
      </w:r>
      <w:r w:rsidR="00EE645D" w:rsidRPr="00EE645D">
        <w:t>,</w:t>
      </w:r>
      <w:r w:rsidR="00EE645D">
        <w:t xml:space="preserve"> LTCH</w:t>
      </w:r>
      <w:r w:rsidR="007A6517">
        <w:t>s</w:t>
      </w:r>
      <w:r w:rsidR="00EE645D">
        <w:t xml:space="preserve"> and PPS swing beds</w:t>
      </w:r>
      <w:r w:rsidRPr="008F100A">
        <w:t xml:space="preserve"> under the IMPACT Act</w:t>
      </w:r>
      <w:r w:rsidR="00C941EE">
        <w:t xml:space="preserve">. NQF has </w:t>
      </w:r>
      <w:r w:rsidRPr="008F100A">
        <w:t xml:space="preserve">endorsed </w:t>
      </w:r>
      <w:r w:rsidR="00C941EE">
        <w:t xml:space="preserve">the measure for IRFs as </w:t>
      </w:r>
      <w:r w:rsidRPr="008F100A">
        <w:t>NQF measure #2633</w:t>
      </w:r>
      <w:r w:rsidR="00C941EE">
        <w:t>, and CMS is also seeking NQF endorsement of the measure for SNFs</w:t>
      </w:r>
      <w:r w:rsidRPr="008F100A">
        <w:t xml:space="preserve">. </w:t>
      </w:r>
      <w:r w:rsidR="00C941EE">
        <w:t xml:space="preserve">The measure </w:t>
      </w:r>
      <w:r w:rsidRPr="008F100A">
        <w:t xml:space="preserve">uses MDS Section GG elements and addresses the following self-care items: eating, oral hygiene, toilet hygiene, shower/bathing, upper body dressing, lower body dressing, and putting on/taking off footwear. All items are scored </w:t>
      </w:r>
      <w:r w:rsidR="00926950">
        <w:t xml:space="preserve">using a 1-6 rating scale </w:t>
      </w:r>
      <w:r w:rsidRPr="008F100A">
        <w:t>based on the level of dependence/assistance required, with a potential score range for the measure of 7 to 42.</w:t>
      </w:r>
      <w:r w:rsidR="00834926">
        <w:rPr>
          <w:vertAlign w:val="superscript"/>
        </w:rPr>
        <w:t>19</w:t>
      </w:r>
    </w:p>
    <w:p w14:paraId="35E6DDBB" w14:textId="77777777" w:rsidR="00362C9F" w:rsidRPr="008F100A" w:rsidRDefault="00362C9F" w:rsidP="003916D5">
      <w:pPr>
        <w:spacing w:after="0" w:line="480" w:lineRule="auto"/>
      </w:pPr>
    </w:p>
    <w:p w14:paraId="2CD57048" w14:textId="0C6B30BD" w:rsidR="00BF453E" w:rsidRDefault="00362C9F" w:rsidP="003916D5">
      <w:pPr>
        <w:spacing w:after="0" w:line="480" w:lineRule="auto"/>
        <w:rPr>
          <w:vertAlign w:val="superscript"/>
        </w:rPr>
      </w:pPr>
      <w:r w:rsidRPr="008F100A">
        <w:t>Th</w:t>
      </w:r>
      <w:r w:rsidR="00C941EE">
        <w:t>e</w:t>
      </w:r>
      <w:r w:rsidRPr="008F100A">
        <w:t xml:space="preserve"> risk-adjusted mean change in mobility score between admission and discharge for CAH Medicare </w:t>
      </w:r>
      <w:r w:rsidR="00436120">
        <w:t>swing bed</w:t>
      </w:r>
      <w:r w:rsidRPr="008F100A">
        <w:t xml:space="preserve"> patients discharged from a </w:t>
      </w:r>
      <w:r w:rsidR="00436120">
        <w:t>swing bed</w:t>
      </w:r>
      <w:r w:rsidRPr="008F100A">
        <w:t xml:space="preserve"> is </w:t>
      </w:r>
      <w:r w:rsidR="00C941EE">
        <w:t xml:space="preserve">also </w:t>
      </w:r>
      <w:r w:rsidRPr="008F100A">
        <w:t xml:space="preserve">based on </w:t>
      </w:r>
      <w:r w:rsidR="00C941EE">
        <w:t>a</w:t>
      </w:r>
      <w:r w:rsidRPr="008F100A">
        <w:t xml:space="preserve"> CMS functional outcome </w:t>
      </w:r>
      <w:r w:rsidRPr="002E2988">
        <w:t xml:space="preserve">measure adopted </w:t>
      </w:r>
      <w:r w:rsidR="00EE645D" w:rsidRPr="00EE645D">
        <w:t xml:space="preserve">for SNFs, </w:t>
      </w:r>
      <w:r w:rsidRPr="00EE645D">
        <w:t>IRFs</w:t>
      </w:r>
      <w:r w:rsidR="00EE645D" w:rsidRPr="00EE645D">
        <w:t>,</w:t>
      </w:r>
      <w:r w:rsidR="00EE645D">
        <w:t xml:space="preserve"> LTCHs and PPS swing beds</w:t>
      </w:r>
      <w:r w:rsidRPr="002E2988">
        <w:t xml:space="preserve"> under the</w:t>
      </w:r>
      <w:r w:rsidRPr="008F100A">
        <w:t xml:space="preserve"> IMPACT Act</w:t>
      </w:r>
      <w:r w:rsidR="002E2988">
        <w:t xml:space="preserve">. NQF has </w:t>
      </w:r>
      <w:r w:rsidRPr="008F100A">
        <w:t xml:space="preserve">endorsed </w:t>
      </w:r>
      <w:r w:rsidR="002E2988">
        <w:t>th</w:t>
      </w:r>
      <w:r w:rsidR="00C941EE">
        <w:t xml:space="preserve">is </w:t>
      </w:r>
      <w:r w:rsidR="002E2988">
        <w:t xml:space="preserve">measure for IRFs </w:t>
      </w:r>
      <w:r w:rsidRPr="008F100A">
        <w:t>as NQF measure #2634</w:t>
      </w:r>
      <w:r w:rsidR="002E2988">
        <w:t xml:space="preserve">, and CMS is </w:t>
      </w:r>
      <w:r w:rsidR="00C941EE">
        <w:t xml:space="preserve">also </w:t>
      </w:r>
      <w:r w:rsidR="002E2988">
        <w:t xml:space="preserve">seeking </w:t>
      </w:r>
      <w:r w:rsidR="00C941EE">
        <w:t xml:space="preserve">NQF </w:t>
      </w:r>
      <w:r w:rsidR="002E2988">
        <w:t>endorsement of the measure</w:t>
      </w:r>
      <w:r w:rsidR="00C941EE">
        <w:t xml:space="preserve"> for SNFs. The measure</w:t>
      </w:r>
      <w:r w:rsidRPr="008F100A">
        <w:t xml:space="preserve"> uses MDS Section GG elements and addresses the following mobility items: roll left and right, sit to lying, lying to sitting on side of bed, sit to stand, chair/bed-to-chair, ability to transfer to and from a chair (or wheelchair), ability to get on and off a toilet or commode, car transfer, walk 10 feet, walk 50 feet with two turns, walk 150 feet, walk 10 feet on uneven surfaces, 1 step </w:t>
      </w:r>
      <w:r w:rsidRPr="008F100A">
        <w:lastRenderedPageBreak/>
        <w:t xml:space="preserve">(curb), 4 steps, 12 steps, and picking up an object from the floor. All items are coded using a 1-6 rating scale (dependent to independent). All items are scored based on level of dependence/assistance required, with a potential score range for the measure </w:t>
      </w:r>
      <w:r w:rsidR="00BF4D71">
        <w:t xml:space="preserve">of </w:t>
      </w:r>
      <w:r w:rsidR="003610EA">
        <w:t>15</w:t>
      </w:r>
      <w:r w:rsidR="00BF4D71">
        <w:t xml:space="preserve"> to </w:t>
      </w:r>
      <w:r w:rsidR="003610EA">
        <w:t>90</w:t>
      </w:r>
      <w:r w:rsidR="00926950">
        <w:t>.</w:t>
      </w:r>
      <w:r w:rsidR="00834926">
        <w:rPr>
          <w:vertAlign w:val="superscript"/>
        </w:rPr>
        <w:t>19</w:t>
      </w:r>
    </w:p>
    <w:p w14:paraId="07397F6E" w14:textId="77777777" w:rsidR="007A6517" w:rsidRDefault="007A6517" w:rsidP="003916D5">
      <w:pPr>
        <w:spacing w:after="0" w:line="480" w:lineRule="auto"/>
      </w:pPr>
    </w:p>
    <w:p w14:paraId="462CA294" w14:textId="3206D6D4" w:rsidR="00362C9F" w:rsidRPr="008F100A" w:rsidRDefault="00362C9F" w:rsidP="003916D5">
      <w:pPr>
        <w:spacing w:after="0" w:line="480" w:lineRule="auto"/>
      </w:pPr>
      <w:r w:rsidRPr="008F100A">
        <w:t xml:space="preserve">To fairly compare changes in self-care and mobility scores between admission and discharge for CAH Medicare </w:t>
      </w:r>
      <w:r w:rsidR="00436120">
        <w:t>swing bed</w:t>
      </w:r>
      <w:r w:rsidRPr="008F100A">
        <w:t xml:space="preserve"> patients over time in a CAH, with other CAHs, and with other post-acute settings such as SNFs, it is necessary to risk-adjust the measures.</w:t>
      </w:r>
      <w:r w:rsidR="00834926">
        <w:rPr>
          <w:vertAlign w:val="superscript"/>
        </w:rPr>
        <w:t>19</w:t>
      </w:r>
      <w:r w:rsidRPr="008F100A">
        <w:rPr>
          <w:vertAlign w:val="superscript"/>
        </w:rPr>
        <w:t xml:space="preserve"> </w:t>
      </w:r>
      <w:r w:rsidRPr="008F100A">
        <w:t xml:space="preserve"> </w:t>
      </w:r>
      <w:bookmarkStart w:id="10" w:name="_Hlk24998471"/>
      <w:r w:rsidR="00C941EE" w:rsidRPr="00EE645D">
        <w:t xml:space="preserve">Risk-adjustment requires </w:t>
      </w:r>
      <w:r w:rsidRPr="00EE645D">
        <w:t xml:space="preserve">data elements </w:t>
      </w:r>
      <w:r w:rsidR="00EE645D" w:rsidRPr="00EE645D">
        <w:t>that are part of</w:t>
      </w:r>
      <w:r w:rsidRPr="00EE645D">
        <w:t xml:space="preserve"> the revised MDS Section GG</w:t>
      </w:r>
      <w:bookmarkEnd w:id="10"/>
      <w:r w:rsidRPr="00EE645D">
        <w:t xml:space="preserve"> and selected items from other MDS Sections</w:t>
      </w:r>
      <w:r w:rsidR="00C941EE" w:rsidRPr="00EE645D">
        <w:t xml:space="preserve">, including: patient age group </w:t>
      </w:r>
      <w:r w:rsidRPr="00EE645D">
        <w:t>at admission</w:t>
      </w:r>
      <w:r w:rsidR="00C941EE" w:rsidRPr="00EE645D">
        <w:t>; p</w:t>
      </w:r>
      <w:r w:rsidRPr="00EE645D">
        <w:t>rimary medical condition category</w:t>
      </w:r>
      <w:r w:rsidRPr="008F100A">
        <w:t xml:space="preserve"> (</w:t>
      </w:r>
      <w:r w:rsidR="00C941EE">
        <w:t xml:space="preserve">a </w:t>
      </w:r>
      <w:r w:rsidRPr="008F100A">
        <w:t>checklist of 13 conditions and “other”)</w:t>
      </w:r>
      <w:r w:rsidR="00C941EE">
        <w:t xml:space="preserve">; whether the patient had </w:t>
      </w:r>
      <w:r w:rsidRPr="008F100A">
        <w:t>major surgery during the 100</w:t>
      </w:r>
      <w:r w:rsidR="00C941EE">
        <w:t xml:space="preserve"> days prior to admission; patient’s prior level of dependence with regard to s</w:t>
      </w:r>
      <w:r w:rsidRPr="008F100A">
        <w:t>elf-care</w:t>
      </w:r>
      <w:r w:rsidR="006B7909">
        <w:t>,</w:t>
      </w:r>
      <w:r w:rsidRPr="008F100A">
        <w:t xml:space="preserve"> indoor ambulation</w:t>
      </w:r>
      <w:r w:rsidR="006B7909">
        <w:t>, and</w:t>
      </w:r>
      <w:r w:rsidR="00535D17">
        <w:t xml:space="preserve"> use of stairs</w:t>
      </w:r>
      <w:r w:rsidR="006B7909">
        <w:t xml:space="preserve">; </w:t>
      </w:r>
      <w:r w:rsidR="00535D17">
        <w:t>falls</w:t>
      </w:r>
      <w:r w:rsidR="006B7909">
        <w:t xml:space="preserve"> history</w:t>
      </w:r>
      <w:r w:rsidR="00C941EE">
        <w:t>; p</w:t>
      </w:r>
      <w:r w:rsidRPr="008F100A">
        <w:t xml:space="preserve">rior </w:t>
      </w:r>
      <w:r w:rsidR="00C941EE">
        <w:t xml:space="preserve">use of devices </w:t>
      </w:r>
      <w:r w:rsidRPr="008F100A">
        <w:t>(e.g., walker, manual wheelchair, etc.)</w:t>
      </w:r>
      <w:r w:rsidR="00C941EE">
        <w:t>; p</w:t>
      </w:r>
      <w:r w:rsidRPr="008F100A">
        <w:t>resence and stage of</w:t>
      </w:r>
      <w:r w:rsidR="00C941EE">
        <w:t xml:space="preserve"> pressure ulcer(s) at admission; c</w:t>
      </w:r>
      <w:r w:rsidRPr="008F100A">
        <w:t xml:space="preserve">ognitive </w:t>
      </w:r>
      <w:r w:rsidR="00C941EE">
        <w:t xml:space="preserve">abilities based on </w:t>
      </w:r>
      <w:r w:rsidRPr="008F100A">
        <w:t>Brief Interview for Mental Status (BIMS) score</w:t>
      </w:r>
      <w:r w:rsidR="00C14FD5">
        <w:t xml:space="preserve"> or memory/recall questions</w:t>
      </w:r>
      <w:r w:rsidR="00C941EE">
        <w:t>; c</w:t>
      </w:r>
      <w:r w:rsidRPr="008F100A">
        <w:t xml:space="preserve">ommunication </w:t>
      </w:r>
      <w:r w:rsidR="00C941EE">
        <w:t>i</w:t>
      </w:r>
      <w:r w:rsidRPr="008F100A">
        <w:t>mpairment</w:t>
      </w:r>
      <w:r w:rsidR="00C941EE">
        <w:t>; u</w:t>
      </w:r>
      <w:r w:rsidRPr="008F100A">
        <w:t>rinary</w:t>
      </w:r>
      <w:r w:rsidR="00C941EE">
        <w:t xml:space="preserve"> and bowel c</w:t>
      </w:r>
      <w:r w:rsidRPr="008F100A">
        <w:t>ontinence</w:t>
      </w:r>
      <w:r w:rsidR="00C941EE">
        <w:t>; t</w:t>
      </w:r>
      <w:r w:rsidRPr="008F100A">
        <w:t>ube feeding or total parenteral nutrition</w:t>
      </w:r>
      <w:r w:rsidR="00C941EE">
        <w:t>; and c</w:t>
      </w:r>
      <w:r w:rsidRPr="008F100A">
        <w:t>omorbidities (1</w:t>
      </w:r>
      <w:r w:rsidR="006B7909">
        <w:t>5</w:t>
      </w:r>
      <w:r w:rsidRPr="008F100A">
        <w:t xml:space="preserve"> hierarchical condition categories)</w:t>
      </w:r>
      <w:r w:rsidR="00C941EE">
        <w:t>.</w:t>
      </w:r>
    </w:p>
    <w:p w14:paraId="68767F3E" w14:textId="77777777" w:rsidR="004D1C93" w:rsidRDefault="004D1C93" w:rsidP="003916D5">
      <w:pPr>
        <w:spacing w:after="0" w:line="480" w:lineRule="auto"/>
        <w:rPr>
          <w:b/>
        </w:rPr>
      </w:pPr>
    </w:p>
    <w:p w14:paraId="589495E2" w14:textId="0C8514AA" w:rsidR="00C44840" w:rsidRDefault="00000D94" w:rsidP="003916D5">
      <w:pPr>
        <w:spacing w:after="0" w:line="480" w:lineRule="auto"/>
        <w:rPr>
          <w:b/>
        </w:rPr>
      </w:pPr>
      <w:r>
        <w:rPr>
          <w:b/>
        </w:rPr>
        <w:t>Implementing a Field Test of CAH Swing Bed Quality</w:t>
      </w:r>
    </w:p>
    <w:p w14:paraId="5746F4BD" w14:textId="724CA0DB" w:rsidR="00315850" w:rsidRPr="008F100A" w:rsidRDefault="00481CA2" w:rsidP="003916D5">
      <w:pPr>
        <w:spacing w:after="0" w:line="480" w:lineRule="auto"/>
      </w:pPr>
      <w:r>
        <w:t>In</w:t>
      </w:r>
      <w:r w:rsidR="00535D17">
        <w:t xml:space="preserve"> April</w:t>
      </w:r>
      <w:r>
        <w:t xml:space="preserve"> 2018, </w:t>
      </w:r>
      <w:r w:rsidR="000D69B3">
        <w:t>in collaboration with Stroudwater Associates</w:t>
      </w:r>
      <w:r w:rsidR="00036FB0">
        <w:t xml:space="preserve"> and Mary Guyot</w:t>
      </w:r>
      <w:r w:rsidR="00000D94">
        <w:t xml:space="preserve"> Consulting</w:t>
      </w:r>
      <w:r w:rsidR="000D69B3">
        <w:t xml:space="preserve">, </w:t>
      </w:r>
      <w:r>
        <w:t xml:space="preserve">we </w:t>
      </w:r>
      <w:r w:rsidR="00E31F06">
        <w:t xml:space="preserve">began </w:t>
      </w:r>
      <w:r w:rsidR="006B7909">
        <w:t>implement</w:t>
      </w:r>
      <w:r w:rsidR="00000D94">
        <w:t>ation of</w:t>
      </w:r>
      <w:r w:rsidR="006B7909">
        <w:t xml:space="preserve"> a </w:t>
      </w:r>
      <w:r w:rsidR="00315850" w:rsidRPr="008F100A">
        <w:t xml:space="preserve">field test </w:t>
      </w:r>
      <w:r w:rsidR="00DE05B3" w:rsidRPr="008F100A">
        <w:t>using</w:t>
      </w:r>
      <w:r>
        <w:t xml:space="preserve"> the recommended </w:t>
      </w:r>
      <w:r w:rsidR="00436120">
        <w:t>swing bed</w:t>
      </w:r>
      <w:r w:rsidR="00315850" w:rsidRPr="008F100A">
        <w:t xml:space="preserve"> outcome and </w:t>
      </w:r>
      <w:r w:rsidR="001053B7" w:rsidRPr="008F100A">
        <w:t xml:space="preserve">risk-adjusted </w:t>
      </w:r>
      <w:r w:rsidR="00315850" w:rsidRPr="008F100A">
        <w:t xml:space="preserve">functional status quality measures for CAH </w:t>
      </w:r>
      <w:r w:rsidR="00436120">
        <w:t>swing bed</w:t>
      </w:r>
      <w:r w:rsidR="00315850" w:rsidRPr="008F100A">
        <w:t xml:space="preserve"> programs</w:t>
      </w:r>
      <w:r>
        <w:t>.</w:t>
      </w:r>
      <w:r w:rsidR="006B7909">
        <w:t xml:space="preserve">  Prior to data collection, </w:t>
      </w:r>
      <w:r w:rsidR="00E31F06" w:rsidRPr="00E31F06">
        <w:t xml:space="preserve">nurses with extensive </w:t>
      </w:r>
      <w:r w:rsidR="00436120">
        <w:t>swing bed</w:t>
      </w:r>
      <w:r w:rsidR="00E31F06" w:rsidRPr="00E31F06">
        <w:t xml:space="preserve"> experience </w:t>
      </w:r>
      <w:r w:rsidR="003E11D7">
        <w:t xml:space="preserve">and </w:t>
      </w:r>
      <w:r w:rsidR="003E11D7" w:rsidRPr="003E11D7">
        <w:t xml:space="preserve">quality improvement </w:t>
      </w:r>
      <w:r w:rsidR="003E11D7">
        <w:t xml:space="preserve">expertise </w:t>
      </w:r>
      <w:r w:rsidR="00E31F06">
        <w:t xml:space="preserve">provided </w:t>
      </w:r>
      <w:r w:rsidR="006B7909">
        <w:t xml:space="preserve">training (in-person and </w:t>
      </w:r>
      <w:r w:rsidR="00E31F06">
        <w:t xml:space="preserve">via </w:t>
      </w:r>
      <w:r w:rsidR="006B7909">
        <w:t>webinar</w:t>
      </w:r>
      <w:r w:rsidR="00115870">
        <w:t xml:space="preserve">s) to relevant hospital staff. </w:t>
      </w:r>
      <w:r w:rsidR="006B7909">
        <w:t xml:space="preserve">Hospital staff used the data collection tool for three </w:t>
      </w:r>
      <w:r w:rsidR="00436120">
        <w:t>swing bed</w:t>
      </w:r>
      <w:r w:rsidR="006B7909">
        <w:t xml:space="preserve"> patient cases de</w:t>
      </w:r>
      <w:r w:rsidR="00115870">
        <w:t xml:space="preserve">veloped by the nurse trainers. </w:t>
      </w:r>
      <w:r w:rsidR="006B7909">
        <w:t>Each case h</w:t>
      </w:r>
      <w:r w:rsidR="00BC59A9">
        <w:t xml:space="preserve">ad </w:t>
      </w:r>
      <w:r w:rsidR="00000D94">
        <w:t>82</w:t>
      </w:r>
      <w:r w:rsidR="00BC59A9">
        <w:t xml:space="preserve"> items that required scoring with the majority of items related to risk adjustment and functional status cha</w:t>
      </w:r>
      <w:r w:rsidR="00535D17">
        <w:t>n</w:t>
      </w:r>
      <w:r w:rsidR="00BC59A9">
        <w:t>ges.  Overall, 8</w:t>
      </w:r>
      <w:r w:rsidR="00000D94">
        <w:t>8</w:t>
      </w:r>
      <w:r w:rsidR="00BC59A9">
        <w:t>% of th</w:t>
      </w:r>
      <w:r w:rsidR="00115870">
        <w:t xml:space="preserve">e items were scored correctly. </w:t>
      </w:r>
      <w:r w:rsidR="00BC59A9">
        <w:t xml:space="preserve">Follow-up support was provided to staff on specific issues related to risk adjustment </w:t>
      </w:r>
      <w:r w:rsidR="00115870">
        <w:t xml:space="preserve">and functional status details. </w:t>
      </w:r>
      <w:r w:rsidR="00BC59A9">
        <w:t>A web-based tool was developed to support data collection and entry with the capacity to produce analytics and benchmarking reports.</w:t>
      </w:r>
      <w:r w:rsidR="003610EA">
        <w:t xml:space="preserve"> </w:t>
      </w:r>
      <w:r w:rsidR="00315850" w:rsidRPr="008F100A">
        <w:t xml:space="preserve">The field test </w:t>
      </w:r>
      <w:r>
        <w:t>i</w:t>
      </w:r>
      <w:r w:rsidR="00315850" w:rsidRPr="008F100A">
        <w:t>nvolve</w:t>
      </w:r>
      <w:r w:rsidR="000F4F59">
        <w:t xml:space="preserve">d </w:t>
      </w:r>
      <w:r w:rsidR="00315850" w:rsidRPr="008F100A">
        <w:t xml:space="preserve">voluntary </w:t>
      </w:r>
      <w:r>
        <w:t xml:space="preserve">quarterly </w:t>
      </w:r>
      <w:r w:rsidR="00315850" w:rsidRPr="008F100A">
        <w:t xml:space="preserve">reporting of the measures by </w:t>
      </w:r>
      <w:r w:rsidR="00BC59A9">
        <w:t>1</w:t>
      </w:r>
      <w:r w:rsidR="00000D94">
        <w:t>31</w:t>
      </w:r>
      <w:r w:rsidR="00BC59A9">
        <w:t xml:space="preserve"> </w:t>
      </w:r>
      <w:r w:rsidR="00315850" w:rsidRPr="008F100A">
        <w:t xml:space="preserve">CAHs in </w:t>
      </w:r>
      <w:r w:rsidR="00BC59A9">
        <w:t>1</w:t>
      </w:r>
      <w:r w:rsidR="00000D94">
        <w:t>4</w:t>
      </w:r>
      <w:r w:rsidR="00315850" w:rsidRPr="008F100A">
        <w:t xml:space="preserve"> states </w:t>
      </w:r>
      <w:r w:rsidR="00030F8D">
        <w:t>with 83 CAHs participating for 12 months and 48 participating</w:t>
      </w:r>
      <w:r w:rsidR="00926950">
        <w:t xml:space="preserve"> for 6 months (Figure 1).</w:t>
      </w:r>
    </w:p>
    <w:p w14:paraId="08AE289F" w14:textId="77777777" w:rsidR="00AE6BE2" w:rsidRDefault="00AE6BE2" w:rsidP="003916D5">
      <w:pPr>
        <w:spacing w:after="0" w:line="480" w:lineRule="auto"/>
        <w:rPr>
          <w:b/>
        </w:rPr>
      </w:pPr>
    </w:p>
    <w:p w14:paraId="5827D73E" w14:textId="11732063" w:rsidR="00092D69" w:rsidRDefault="000A5E72" w:rsidP="003916D5">
      <w:pPr>
        <w:spacing w:after="0" w:line="480" w:lineRule="auto"/>
      </w:pPr>
      <w:r>
        <w:rPr>
          <w:b/>
        </w:rPr>
        <w:t xml:space="preserve">Results of the Field Test of CAH </w:t>
      </w:r>
      <w:r w:rsidR="00436120">
        <w:rPr>
          <w:b/>
        </w:rPr>
        <w:t>Swing bed</w:t>
      </w:r>
      <w:r>
        <w:rPr>
          <w:b/>
        </w:rPr>
        <w:t xml:space="preserve"> Quality</w:t>
      </w:r>
    </w:p>
    <w:p w14:paraId="6FAFE70E" w14:textId="5A443747" w:rsidR="000A5E72" w:rsidRDefault="000A5E72" w:rsidP="003916D5">
      <w:pPr>
        <w:spacing w:after="0" w:line="480" w:lineRule="auto"/>
      </w:pPr>
      <w:r>
        <w:t xml:space="preserve">For the period April 1, 2018 to March 31, 2019, the 131 CAHs participating (83 for 12 months and 48 for 6 months) in the field test had a total of 8420 swing bed </w:t>
      </w:r>
      <w:r w:rsidR="00EE645D">
        <w:t xml:space="preserve">patient </w:t>
      </w:r>
      <w:r>
        <w:t xml:space="preserve">stays with an average length of stay of 12.5 days and a median length of stay of 10 days. The characteristics of </w:t>
      </w:r>
      <w:r w:rsidR="00834926">
        <w:t>CAH swing bed</w:t>
      </w:r>
      <w:r>
        <w:t xml:space="preserve"> patients are shown in Tables 3 and 4.</w:t>
      </w:r>
    </w:p>
    <w:p w14:paraId="17DC1D0A" w14:textId="77777777" w:rsidR="00AE6BE2" w:rsidRDefault="00AE6BE2" w:rsidP="003916D5">
      <w:pPr>
        <w:spacing w:after="0" w:line="480" w:lineRule="auto"/>
      </w:pPr>
    </w:p>
    <w:p w14:paraId="2DE38059" w14:textId="34C96B18" w:rsidR="000A5E72" w:rsidRDefault="000A5E72" w:rsidP="003916D5">
      <w:pPr>
        <w:spacing w:after="0" w:line="480" w:lineRule="auto"/>
      </w:pPr>
      <w:r>
        <w:t xml:space="preserve">CAH swing bed patients in </w:t>
      </w:r>
      <w:r w:rsidR="00AE6BE2">
        <w:t>the</w:t>
      </w:r>
      <w:r>
        <w:t xml:space="preserve"> sample </w:t>
      </w:r>
      <w:r w:rsidR="00AE6BE2">
        <w:t>were</w:t>
      </w:r>
      <w:r>
        <w:t xml:space="preserve"> </w:t>
      </w:r>
      <w:r w:rsidR="00383607">
        <w:t xml:space="preserve">a </w:t>
      </w:r>
      <w:r>
        <w:t>ch</w:t>
      </w:r>
      <w:r w:rsidR="00834926">
        <w:t>ronically</w:t>
      </w:r>
      <w:r>
        <w:t xml:space="preserve"> ill</w:t>
      </w:r>
      <w:r w:rsidR="00AF160F">
        <w:t>,</w:t>
      </w:r>
      <w:r>
        <w:t xml:space="preserve"> elderly population with functional status needs. Al</w:t>
      </w:r>
      <w:r w:rsidR="00AF160F">
        <w:t>most</w:t>
      </w:r>
      <w:r>
        <w:t xml:space="preserve"> 2/3 of swing bed patients were over age 75 and 90% had insurance coverage from Medicare or Medicare Advantage. Almost half of swing bed patients had a medical condition (</w:t>
      </w:r>
      <w:r w:rsidR="00834926">
        <w:t>often</w:t>
      </w:r>
      <w:r>
        <w:t xml:space="preserve"> complex) as their primary reason for admission with fractures</w:t>
      </w:r>
      <w:r w:rsidR="00AF160F">
        <w:t xml:space="preserve"> and other multiple trauma and hip and knee replacement representing almost one fourth of the primary reasons for admission.  Prior to their current illness, approximately one third of swing bed patients were not independent in everyday activities including self-care, indoor </w:t>
      </w:r>
      <w:r w:rsidR="00EE645D">
        <w:t>mobility</w:t>
      </w:r>
      <w:r w:rsidR="00AF160F">
        <w:t xml:space="preserve"> and functional cognition; 60% used a walker; and 17% used a manual or motorized wheelchair.</w:t>
      </w:r>
    </w:p>
    <w:p w14:paraId="2DBF0F28" w14:textId="77777777" w:rsidR="00AE6BE2" w:rsidRDefault="00AE6BE2" w:rsidP="003916D5">
      <w:pPr>
        <w:spacing w:after="0" w:line="480" w:lineRule="auto"/>
      </w:pPr>
    </w:p>
    <w:p w14:paraId="48BC958E" w14:textId="71498D4F" w:rsidR="00AF160F" w:rsidRDefault="00AF160F" w:rsidP="003916D5">
      <w:pPr>
        <w:spacing w:after="0" w:line="480" w:lineRule="auto"/>
      </w:pPr>
      <w:r>
        <w:t>Detailed information on additional CAH swing bed patient characteristics were collected to facilitate risk adjustment of patient outcome measures (T</w:t>
      </w:r>
      <w:r w:rsidR="00834926">
        <w:t>able 4). These data document the</w:t>
      </w:r>
      <w:r>
        <w:t xml:space="preserve"> frailty of a large subgroup of </w:t>
      </w:r>
      <w:r w:rsidR="00A02032">
        <w:t>CAH swing bed patient</w:t>
      </w:r>
      <w:r w:rsidR="00834926">
        <w:t>s</w:t>
      </w:r>
      <w:r w:rsidR="00A02032">
        <w:t xml:space="preserve"> as evidenced by:</w:t>
      </w:r>
    </w:p>
    <w:p w14:paraId="5347E80B" w14:textId="4F7EEB29" w:rsidR="008B0F21" w:rsidRDefault="00E71F1A" w:rsidP="00B0051B">
      <w:pPr>
        <w:pStyle w:val="ListParagraph"/>
        <w:numPr>
          <w:ilvl w:val="0"/>
          <w:numId w:val="23"/>
        </w:numPr>
        <w:spacing w:before="240" w:after="0" w:line="240" w:lineRule="auto"/>
      </w:pPr>
      <w:r>
        <w:t xml:space="preserve">More than </w:t>
      </w:r>
      <w:r w:rsidR="00834926">
        <w:t>40%</w:t>
      </w:r>
      <w:r>
        <w:t xml:space="preserve"> had a fall in the </w:t>
      </w:r>
      <w:r w:rsidR="00834926">
        <w:t>6 months prior to admission</w:t>
      </w:r>
      <w:r>
        <w:t xml:space="preserve"> </w:t>
      </w:r>
    </w:p>
    <w:p w14:paraId="5310630D" w14:textId="77777777" w:rsidR="001F32AB" w:rsidRDefault="001F32AB" w:rsidP="001F32AB">
      <w:pPr>
        <w:pStyle w:val="ListParagraph"/>
        <w:spacing w:before="240" w:after="0" w:line="240" w:lineRule="auto"/>
      </w:pPr>
    </w:p>
    <w:p w14:paraId="2118F782" w14:textId="5F7E9832" w:rsidR="001F32AB" w:rsidRDefault="00834926" w:rsidP="001F32AB">
      <w:pPr>
        <w:pStyle w:val="ListParagraph"/>
        <w:numPr>
          <w:ilvl w:val="0"/>
          <w:numId w:val="23"/>
        </w:numPr>
        <w:spacing w:before="240" w:after="0" w:line="480" w:lineRule="auto"/>
      </w:pPr>
      <w:r>
        <w:t>More than 40% were not always urinary continent</w:t>
      </w:r>
      <w:r w:rsidR="001F32AB">
        <w:t xml:space="preserve"> and 25% were not always bowel continent</w:t>
      </w:r>
    </w:p>
    <w:p w14:paraId="48B11048" w14:textId="74CE7B14" w:rsidR="00784C13" w:rsidRDefault="00784C13" w:rsidP="008B0F21">
      <w:pPr>
        <w:pStyle w:val="ListParagraph"/>
        <w:numPr>
          <w:ilvl w:val="0"/>
          <w:numId w:val="23"/>
        </w:numPr>
        <w:spacing w:after="0" w:line="240" w:lineRule="auto"/>
      </w:pPr>
      <w:r>
        <w:t>Almost one quarter did not clearly understand the verbal content of others and 20% were not able to be fully understood</w:t>
      </w:r>
    </w:p>
    <w:p w14:paraId="3054948B" w14:textId="77777777" w:rsidR="008B0F21" w:rsidRDefault="008B0F21" w:rsidP="008B0F21">
      <w:pPr>
        <w:pStyle w:val="ListParagraph"/>
        <w:spacing w:after="0" w:line="240" w:lineRule="auto"/>
      </w:pPr>
    </w:p>
    <w:p w14:paraId="081F4F3D" w14:textId="5659EEA9" w:rsidR="00784C13" w:rsidRDefault="00784C13" w:rsidP="008B0F21">
      <w:pPr>
        <w:pStyle w:val="ListParagraph"/>
        <w:numPr>
          <w:ilvl w:val="0"/>
          <w:numId w:val="23"/>
        </w:numPr>
        <w:spacing w:after="0" w:line="240" w:lineRule="auto"/>
      </w:pPr>
      <w:r>
        <w:t>More than one third had a Brief Interview for Mental Status (BIMS) score of 12 or lower which indicate</w:t>
      </w:r>
      <w:r w:rsidR="00AE6BE2">
        <w:t>s</w:t>
      </w:r>
      <w:r>
        <w:t xml:space="preserve"> moderate or severe impairment</w:t>
      </w:r>
    </w:p>
    <w:p w14:paraId="00F53F50" w14:textId="77777777" w:rsidR="008B0F21" w:rsidRDefault="008B0F21" w:rsidP="008B0F21">
      <w:pPr>
        <w:pStyle w:val="ListParagraph"/>
      </w:pPr>
    </w:p>
    <w:p w14:paraId="072935D9" w14:textId="5DF9A443" w:rsidR="00784C13" w:rsidRDefault="00784C13" w:rsidP="00784C13">
      <w:pPr>
        <w:pStyle w:val="ListParagraph"/>
        <w:numPr>
          <w:ilvl w:val="0"/>
          <w:numId w:val="23"/>
        </w:numPr>
        <w:spacing w:after="0" w:line="480" w:lineRule="auto"/>
      </w:pPr>
      <w:r>
        <w:t>Almost 10% had at least one unhealed pressure ulcer at swing bed admission</w:t>
      </w:r>
    </w:p>
    <w:p w14:paraId="4D9F672B" w14:textId="1A020502" w:rsidR="00784C13" w:rsidRPr="00A31CB4" w:rsidRDefault="00784C13" w:rsidP="008B0F21">
      <w:pPr>
        <w:pStyle w:val="ListParagraph"/>
        <w:numPr>
          <w:ilvl w:val="0"/>
          <w:numId w:val="23"/>
        </w:numPr>
        <w:spacing w:line="240" w:lineRule="auto"/>
      </w:pPr>
      <w:r w:rsidRPr="00A31CB4">
        <w:t>More than</w:t>
      </w:r>
      <w:r w:rsidR="00834926" w:rsidRPr="00A31CB4">
        <w:t xml:space="preserve"> one quarter had a comorbidity</w:t>
      </w:r>
      <w:r w:rsidRPr="00A31CB4">
        <w:t xml:space="preserve"> of diabetes, m</w:t>
      </w:r>
      <w:r w:rsidR="00834926" w:rsidRPr="00A31CB4">
        <w:t>o</w:t>
      </w:r>
      <w:r w:rsidRPr="00A31CB4">
        <w:t>re than one quarter had chronic ischemic heart disease and more than 10% had dementia</w:t>
      </w:r>
    </w:p>
    <w:p w14:paraId="5A86D1BA" w14:textId="77777777" w:rsidR="008B0F21" w:rsidRDefault="008B0F21" w:rsidP="008B0F21">
      <w:pPr>
        <w:spacing w:line="240" w:lineRule="auto"/>
      </w:pPr>
    </w:p>
    <w:p w14:paraId="4D1F7E66" w14:textId="04815EEE" w:rsidR="00784C13" w:rsidRDefault="00D11247" w:rsidP="003916D5">
      <w:pPr>
        <w:spacing w:after="0" w:line="480" w:lineRule="auto"/>
      </w:pPr>
      <w:r>
        <w:t xml:space="preserve">The field test tracked CAH swing bed patient status as well as </w:t>
      </w:r>
      <w:r w:rsidRPr="00EE645D">
        <w:t>3</w:t>
      </w:r>
      <w:r w:rsidR="00834926" w:rsidRPr="00EE645D">
        <w:t>0</w:t>
      </w:r>
      <w:r w:rsidR="00EE645D" w:rsidRPr="00EE645D">
        <w:t>-</w:t>
      </w:r>
      <w:r w:rsidRPr="00EE645D">
        <w:t>day</w:t>
      </w:r>
      <w:r>
        <w:t xml:space="preserve"> follow-up status after a </w:t>
      </w:r>
      <w:r w:rsidR="00436120">
        <w:t>swing bed</w:t>
      </w:r>
      <w:r>
        <w:t xml:space="preserve"> stay (Tables 5 and 6)</w:t>
      </w:r>
      <w:r w:rsidR="00834926">
        <w:t>.</w:t>
      </w:r>
      <w:r>
        <w:t xml:space="preserve"> 72% of swing bed patients were discharged to a community setting and three fourths of swing bed patients returned to their prior living situation or a more independent level of </w:t>
      </w:r>
      <w:r w:rsidRPr="00EE645D">
        <w:t>care after their swing bed stay. During the 30</w:t>
      </w:r>
      <w:r w:rsidR="00EE645D" w:rsidRPr="00EE645D">
        <w:t>-</w:t>
      </w:r>
      <w:r w:rsidRPr="00EE645D">
        <w:t xml:space="preserve">day period following discharge from a CAH swing bed, </w:t>
      </w:r>
      <w:bookmarkStart w:id="11" w:name="_Hlk24999497"/>
      <w:r w:rsidRPr="00EE645D">
        <w:t xml:space="preserve">the </w:t>
      </w:r>
      <w:r w:rsidR="00EE645D" w:rsidRPr="00EE645D">
        <w:t xml:space="preserve">self-reported </w:t>
      </w:r>
      <w:r w:rsidRPr="00EE645D">
        <w:t xml:space="preserve">hospital readmission rate was 14.5% and the </w:t>
      </w:r>
      <w:r w:rsidR="00EE645D" w:rsidRPr="00EE645D">
        <w:t>self-reported</w:t>
      </w:r>
      <w:r w:rsidRPr="00EE645D">
        <w:t xml:space="preserve"> emergency department visit rate </w:t>
      </w:r>
      <w:r w:rsidR="008B0F21" w:rsidRPr="00EE645D">
        <w:t xml:space="preserve">was </w:t>
      </w:r>
      <w:r w:rsidR="00834926" w:rsidRPr="00EE645D">
        <w:t>9</w:t>
      </w:r>
      <w:r w:rsidRPr="00EE645D">
        <w:t>.3%.</w:t>
      </w:r>
    </w:p>
    <w:p w14:paraId="0BE4B4D4" w14:textId="77777777" w:rsidR="00AE6BE2" w:rsidRDefault="00AE6BE2" w:rsidP="003916D5">
      <w:pPr>
        <w:spacing w:after="0" w:line="480" w:lineRule="auto"/>
      </w:pPr>
      <w:bookmarkStart w:id="12" w:name="_Hlk24999864"/>
      <w:bookmarkEnd w:id="11"/>
    </w:p>
    <w:p w14:paraId="5CC74731" w14:textId="79DC103E" w:rsidR="00D11247" w:rsidRDefault="00D11247" w:rsidP="003916D5">
      <w:pPr>
        <w:spacing w:after="0" w:line="480" w:lineRule="auto"/>
      </w:pPr>
      <w:r w:rsidRPr="00193838">
        <w:t xml:space="preserve">The field test also tracked changes in patient functional status, as measured by self-care score and </w:t>
      </w:r>
      <w:r w:rsidR="00EE645D" w:rsidRPr="00193838">
        <w:t>mobility</w:t>
      </w:r>
      <w:r w:rsidRPr="00193838">
        <w:t xml:space="preserve"> score, between swing bed admission and discharge (Table 7). The average non-risk adjusted improvement in patient self-care score was 7.2 uni</w:t>
      </w:r>
      <w:r w:rsidR="00305838" w:rsidRPr="00193838">
        <w:t xml:space="preserve">ts with an </w:t>
      </w:r>
      <w:r w:rsidRPr="00193838">
        <w:t>average</w:t>
      </w:r>
      <w:r w:rsidR="00305838" w:rsidRPr="00193838">
        <w:t xml:space="preserve"> overall patient self-care score at admission of 25.4 units. This represents a 28.3% improvement in the patient’s self-care score</w:t>
      </w:r>
      <w:r w:rsidR="00193838" w:rsidRPr="00193838">
        <w:t xml:space="preserve"> </w:t>
      </w:r>
      <w:r w:rsidR="00AE6BE2">
        <w:t>from</w:t>
      </w:r>
      <w:r w:rsidR="00193838" w:rsidRPr="00193838">
        <w:t xml:space="preserve"> admission to discharge</w:t>
      </w:r>
      <w:r w:rsidR="00305838" w:rsidRPr="00193838">
        <w:t xml:space="preserve">. </w:t>
      </w:r>
      <w:r w:rsidR="00FC01A6" w:rsidRPr="00193838">
        <w:t>The average non-risk adjusted improvement in patient mobility score was 19.7 units with an average overall patient mobility score at admission of 37.2 units. This represents a 53% improvemen</w:t>
      </w:r>
      <w:r w:rsidR="00E27A4F" w:rsidRPr="00193838">
        <w:t>t in the patient mobility score</w:t>
      </w:r>
      <w:r w:rsidR="00193838" w:rsidRPr="00193838">
        <w:t xml:space="preserve"> from admission to discharge</w:t>
      </w:r>
      <w:r w:rsidR="00E27A4F" w:rsidRPr="00193838">
        <w:t>.</w:t>
      </w:r>
    </w:p>
    <w:bookmarkEnd w:id="12"/>
    <w:p w14:paraId="44BF1CFE" w14:textId="77777777" w:rsidR="00AE6BE2" w:rsidRDefault="00AE6BE2" w:rsidP="003916D5">
      <w:pPr>
        <w:spacing w:after="0" w:line="480" w:lineRule="auto"/>
        <w:rPr>
          <w:b/>
        </w:rPr>
      </w:pPr>
    </w:p>
    <w:p w14:paraId="559F0809" w14:textId="1A8D95F8" w:rsidR="00FC01A6" w:rsidRDefault="00FC01A6" w:rsidP="003916D5">
      <w:pPr>
        <w:spacing w:after="0" w:line="480" w:lineRule="auto"/>
        <w:rPr>
          <w:b/>
        </w:rPr>
      </w:pPr>
      <w:r>
        <w:rPr>
          <w:b/>
        </w:rPr>
        <w:t>Comparison of Patient Outcomes in CAH Swing Bed</w:t>
      </w:r>
      <w:r w:rsidR="008B0F21">
        <w:rPr>
          <w:b/>
        </w:rPr>
        <w:t>s</w:t>
      </w:r>
      <w:r>
        <w:rPr>
          <w:b/>
        </w:rPr>
        <w:t xml:space="preserve"> and Rural Skilled Nursing Facilities (SNFs)</w:t>
      </w:r>
    </w:p>
    <w:p w14:paraId="704E933F" w14:textId="660387A1" w:rsidR="008E23CA" w:rsidRDefault="00FC01A6" w:rsidP="003916D5">
      <w:pPr>
        <w:spacing w:after="0" w:line="480" w:lineRule="auto"/>
      </w:pPr>
      <w:r>
        <w:t xml:space="preserve">The data in the previous section are based on </w:t>
      </w:r>
      <w:r w:rsidR="00AE6BE2">
        <w:t>self-reported</w:t>
      </w:r>
      <w:r>
        <w:t xml:space="preserve"> CAH swing bed patient outcomes during the time frame of the field test (April 2018-March 2019). To provide fair comparison of outcomes for patients in different types of facilities (e.g. CAH swing bed</w:t>
      </w:r>
      <w:r w:rsidR="00834926">
        <w:t>s</w:t>
      </w:r>
      <w:r>
        <w:t xml:space="preserve"> and SNFs) it is necessary to risk-adjust outcomes based on patient characteristics. We ad</w:t>
      </w:r>
      <w:r w:rsidR="00AE6BE2">
        <w:t>a</w:t>
      </w:r>
      <w:r>
        <w:t>pted risk-adjustment methodologies used by CMS for facility-level change in hospital readmission rates and functional status.</w:t>
      </w:r>
      <w:r w:rsidR="00834926" w:rsidRPr="00834926">
        <w:rPr>
          <w:vertAlign w:val="superscript"/>
        </w:rPr>
        <w:t>19</w:t>
      </w:r>
      <w:r>
        <w:t xml:space="preserve"> Hospital readmission rates were risk-adjuste</w:t>
      </w:r>
      <w:r w:rsidR="00760269">
        <w:t>d for patient age</w:t>
      </w:r>
      <w:r w:rsidR="00834926">
        <w:t>,</w:t>
      </w:r>
      <w:r w:rsidR="00760269">
        <w:t xml:space="preserve"> length of swing bed stay</w:t>
      </w:r>
      <w:r w:rsidR="00834926">
        <w:t>,</w:t>
      </w:r>
      <w:r w:rsidR="00760269">
        <w:t xml:space="preserve"> primary diagnos</w:t>
      </w:r>
      <w:r w:rsidR="00834926">
        <w:t>i</w:t>
      </w:r>
      <w:r w:rsidR="00760269">
        <w:t>s</w:t>
      </w:r>
      <w:r w:rsidR="00834926">
        <w:t>, comorbidities,</w:t>
      </w:r>
      <w:r w:rsidR="00760269">
        <w:t xml:space="preserve"> </w:t>
      </w:r>
      <w:r w:rsidR="00760269" w:rsidRPr="00383607">
        <w:t>BIMS score, m</w:t>
      </w:r>
      <w:r w:rsidR="00834926" w:rsidRPr="00383607">
        <w:t>obility</w:t>
      </w:r>
      <w:r w:rsidR="00760269" w:rsidRPr="00383607">
        <w:t xml:space="preserve"> score at discharge, self-care score at dischar</w:t>
      </w:r>
      <w:r w:rsidR="00834926" w:rsidRPr="00383607">
        <w:t xml:space="preserve">ge and tube/parenteral feeding. </w:t>
      </w:r>
      <w:r w:rsidR="00760269" w:rsidRPr="00383607">
        <w:t>Self-care score and mobility scores were risk-adjusted for patient age, self-care score and mobility score at</w:t>
      </w:r>
      <w:r w:rsidR="00760269">
        <w:t xml:space="preserve"> admission, primary diagnosis, major surgery during 100 days prior to admission, comorbidities, BIMS sc</w:t>
      </w:r>
      <w:r w:rsidR="00834926">
        <w:t>ore, bladder and bowel continence</w:t>
      </w:r>
      <w:r w:rsidR="00760269">
        <w:t xml:space="preserve">, prior use of devices and aids, falls history, and tube/parenteral feeding.  Appendix 1 provides a </w:t>
      </w:r>
      <w:r w:rsidR="00834926">
        <w:t xml:space="preserve">detailed </w:t>
      </w:r>
      <w:r w:rsidR="00760269">
        <w:t>description of the risk-adjustment methodology and results.</w:t>
      </w:r>
    </w:p>
    <w:p w14:paraId="0A1549FA" w14:textId="77777777" w:rsidR="00AE6BE2" w:rsidRDefault="00AE6BE2" w:rsidP="003916D5">
      <w:pPr>
        <w:spacing w:after="0" w:line="480" w:lineRule="auto"/>
      </w:pPr>
    </w:p>
    <w:p w14:paraId="2E7D19AC" w14:textId="72C54E07" w:rsidR="00274B24" w:rsidRDefault="002444F2" w:rsidP="003916D5">
      <w:pPr>
        <w:spacing w:after="0" w:line="480" w:lineRule="auto"/>
      </w:pPr>
      <w:r>
        <w:t xml:space="preserve">The following </w:t>
      </w:r>
      <w:r w:rsidR="008B0F21">
        <w:t xml:space="preserve">3 data sources </w:t>
      </w:r>
      <w:r w:rsidR="00383607">
        <w:t>were</w:t>
      </w:r>
      <w:r w:rsidR="008B0F21">
        <w:t xml:space="preserve"> used for the</w:t>
      </w:r>
      <w:r>
        <w:t xml:space="preserve"> comparison of risk-adjusted</w:t>
      </w:r>
      <w:r w:rsidR="00760269">
        <w:t xml:space="preserve"> outcome measure results for patients i</w:t>
      </w:r>
      <w:r>
        <w:t>n CAH swing bed and rural SNFs:</w:t>
      </w:r>
    </w:p>
    <w:p w14:paraId="7CE8D75B" w14:textId="40EA184D" w:rsidR="00760269" w:rsidRDefault="00274B24" w:rsidP="00274B24">
      <w:pPr>
        <w:pStyle w:val="ListParagraph"/>
        <w:numPr>
          <w:ilvl w:val="0"/>
          <w:numId w:val="24"/>
        </w:numPr>
        <w:spacing w:after="0" w:line="480" w:lineRule="auto"/>
      </w:pPr>
      <w:bookmarkStart w:id="13" w:name="_Hlk25000672"/>
      <w:r w:rsidRPr="00E965ED">
        <w:t xml:space="preserve">The field test </w:t>
      </w:r>
      <w:r w:rsidR="008B0F21" w:rsidRPr="00E965ED">
        <w:t>data collect</w:t>
      </w:r>
      <w:r w:rsidR="001F32AB" w:rsidRPr="00E965ED">
        <w:t>ion</w:t>
      </w:r>
      <w:r w:rsidR="008B0F21" w:rsidRPr="00E965ED">
        <w:t xml:space="preserve"> forms</w:t>
      </w:r>
      <w:r w:rsidRPr="00E965ED">
        <w:t xml:space="preserve"> with 124 participating CAHs with swing bed</w:t>
      </w:r>
      <w:r w:rsidR="002444F2" w:rsidRPr="00E965ED">
        <w:t>s</w:t>
      </w:r>
      <w:r w:rsidRPr="00E965ED">
        <w:t xml:space="preserve"> provided information </w:t>
      </w:r>
      <w:r w:rsidR="00193838" w:rsidRPr="00E965ED">
        <w:t xml:space="preserve">on changes in the functional status between CAH swing bed admission and discharge as measured by self-care score and mobility score as well as information </w:t>
      </w:r>
      <w:r w:rsidRPr="00E965ED">
        <w:t>on hospital readmission rates during the swing bed stay and 30 days after discharge from the swing bed</w:t>
      </w:r>
      <w:r w:rsidR="00193838" w:rsidRPr="00E965ED">
        <w:t xml:space="preserve">. </w:t>
      </w:r>
      <w:bookmarkEnd w:id="13"/>
      <w:r>
        <w:t>These data were risk-adjusted as described above.</w:t>
      </w:r>
    </w:p>
    <w:p w14:paraId="0D431B78" w14:textId="77EEC0C2" w:rsidR="00274B24" w:rsidRDefault="00274B24" w:rsidP="00274B24">
      <w:pPr>
        <w:pStyle w:val="ListParagraph"/>
        <w:numPr>
          <w:ilvl w:val="0"/>
          <w:numId w:val="24"/>
        </w:numPr>
        <w:spacing w:after="0" w:line="480" w:lineRule="auto"/>
      </w:pPr>
      <w:r>
        <w:t>CMS 2018 Nursing Home Compare data for SNFs located in rural counties as design</w:t>
      </w:r>
      <w:r w:rsidR="002444F2">
        <w:t>ated</w:t>
      </w:r>
      <w:r>
        <w:t xml:space="preserve"> by HRSA provided detailed information on hospital readmission rates after the hospitalization that resulted in a rural SNF stay</w:t>
      </w:r>
      <w:r w:rsidR="002444F2">
        <w:t xml:space="preserve">. In addition, </w:t>
      </w:r>
      <w:r w:rsidR="00E965ED">
        <w:t xml:space="preserve">a CMS SNF Quality Reporting Program </w:t>
      </w:r>
      <w:r w:rsidR="00AE6BE2">
        <w:t>M</w:t>
      </w:r>
      <w:r w:rsidR="00E965ED">
        <w:t>easures and Technical Information Brief</w:t>
      </w:r>
      <w:r w:rsidR="002444F2">
        <w:t xml:space="preserve"> provided</w:t>
      </w:r>
      <w:r>
        <w:t xml:space="preserve"> information on changes in the functional status between SNF admission and discharge as measured by self-care score and mobility score</w:t>
      </w:r>
      <w:r w:rsidR="002444F2">
        <w:t xml:space="preserve"> for all SNFs in the U.S.</w:t>
      </w:r>
      <w:r w:rsidR="00AE6BE2">
        <w:t xml:space="preserve"> in 2018.</w:t>
      </w:r>
      <w:r w:rsidR="002444F2">
        <w:t xml:space="preserve"> The above</w:t>
      </w:r>
      <w:r>
        <w:t xml:space="preserve"> data are risk-adjusted by CMS as described in Appendix 1.</w:t>
      </w:r>
    </w:p>
    <w:p w14:paraId="73AAA0CC" w14:textId="03C29629" w:rsidR="008E23CA" w:rsidRDefault="008E23CA" w:rsidP="00274B24">
      <w:pPr>
        <w:pStyle w:val="ListParagraph"/>
        <w:numPr>
          <w:ilvl w:val="0"/>
          <w:numId w:val="24"/>
        </w:numPr>
        <w:spacing w:after="0" w:line="480" w:lineRule="auto"/>
      </w:pPr>
      <w:r>
        <w:t xml:space="preserve">Using 2018 Medicare claims data, </w:t>
      </w:r>
      <w:r w:rsidR="00AE6BE2">
        <w:t>a large ACO management firm</w:t>
      </w:r>
      <w:r>
        <w:t xml:space="preserve"> provided information on hospital readmission rates 30 days after discharge from a rural SNF for 521 SNFs participating in ACOs and located in rural counties as designated by HRSA in 12 states. These data are risk-adjusted using </w:t>
      </w:r>
      <w:r w:rsidR="008B0F21">
        <w:t xml:space="preserve">the </w:t>
      </w:r>
      <w:r>
        <w:t>CMS Hierarchical Condition Category (HCC) risk-adjustment model, which accounts for beneficiary age, sex, disability status, Medicaid enrollment and clinical conditions as measured by Hierarchical Condition Category (HCCs).</w:t>
      </w:r>
    </w:p>
    <w:p w14:paraId="4753A543" w14:textId="55F28CB8" w:rsidR="008E23CA" w:rsidRDefault="008E23CA" w:rsidP="008E23CA">
      <w:pPr>
        <w:spacing w:after="0" w:line="480" w:lineRule="auto"/>
      </w:pPr>
    </w:p>
    <w:p w14:paraId="550D477C" w14:textId="62E0BEE6" w:rsidR="008E23CA" w:rsidRDefault="008E23CA" w:rsidP="008E23CA">
      <w:pPr>
        <w:spacing w:after="0" w:line="480" w:lineRule="auto"/>
      </w:pPr>
      <w:r>
        <w:t xml:space="preserve">The comparison of risk-adjusted </w:t>
      </w:r>
      <w:r w:rsidR="002444F2">
        <w:t>o</w:t>
      </w:r>
      <w:r>
        <w:t>utcome measures found</w:t>
      </w:r>
      <w:r w:rsidR="002444F2">
        <w:t xml:space="preserve"> (Table</w:t>
      </w:r>
      <w:r w:rsidR="008B0F21">
        <w:t>s</w:t>
      </w:r>
      <w:r w:rsidR="002444F2">
        <w:t xml:space="preserve"> 8 and 9)</w:t>
      </w:r>
      <w:r>
        <w:t>:</w:t>
      </w:r>
    </w:p>
    <w:p w14:paraId="7101890D" w14:textId="052CD932" w:rsidR="008E23CA" w:rsidRDefault="00AE6BE2" w:rsidP="008E23CA">
      <w:pPr>
        <w:pStyle w:val="ListParagraph"/>
        <w:numPr>
          <w:ilvl w:val="0"/>
          <w:numId w:val="25"/>
        </w:numPr>
        <w:spacing w:after="0" w:line="480" w:lineRule="auto"/>
      </w:pPr>
      <w:r>
        <w:t>A significantly lower</w:t>
      </w:r>
      <w:r w:rsidR="008B0F21">
        <w:t>(p</w:t>
      </w:r>
      <w:r w:rsidR="001F32AB">
        <w:t>≤</w:t>
      </w:r>
      <w:r w:rsidR="008B0F21">
        <w:t>.0001)</w:t>
      </w:r>
      <w:r>
        <w:t xml:space="preserve"> </w:t>
      </w:r>
      <w:r w:rsidR="008E23CA">
        <w:t>overall hospital readmission</w:t>
      </w:r>
      <w:r w:rsidR="002444F2">
        <w:t xml:space="preserve"> rate</w:t>
      </w:r>
      <w:r w:rsidR="008E23CA">
        <w:t xml:space="preserve"> for CAH swing bed patients of 18.6% (5% during swing bed stay + 13.6% during 30 days after swing bed </w:t>
      </w:r>
      <w:r w:rsidR="008B0F21">
        <w:t>stay discharge</w:t>
      </w:r>
      <w:r w:rsidR="008E23CA">
        <w:t>) compare</w:t>
      </w:r>
      <w:r w:rsidR="002444F2">
        <w:t>d</w:t>
      </w:r>
      <w:r w:rsidR="008E23CA">
        <w:t xml:space="preserve"> to an overall hospital readmission rate of 33.3% (21.1% during the 30 days after hospitalization that resulted in rural SNF stay + 12.2% during 30 days after rural SNF discharge). The average length</w:t>
      </w:r>
      <w:r w:rsidR="00463997">
        <w:t xml:space="preserve"> of a rural SNF stay in the </w:t>
      </w:r>
      <w:r>
        <w:t>ACO</w:t>
      </w:r>
      <w:r w:rsidR="00463997">
        <w:t xml:space="preserve"> sample was 28.7 days</w:t>
      </w:r>
      <w:r w:rsidR="002444F2">
        <w:t xml:space="preserve">, which is slightly less than </w:t>
      </w:r>
      <w:r w:rsidR="002444F2" w:rsidRPr="00E965ED">
        <w:t xml:space="preserve">the </w:t>
      </w:r>
      <w:r w:rsidR="00E965ED" w:rsidRPr="00E965ED">
        <w:t>30-</w:t>
      </w:r>
      <w:r w:rsidR="002444F2" w:rsidRPr="00E965ED">
        <w:t>day</w:t>
      </w:r>
      <w:r w:rsidR="002444F2">
        <w:t xml:space="preserve"> period after the hospitalization that results in a rural SNF stay</w:t>
      </w:r>
      <w:r w:rsidR="00463997">
        <w:t>.</w:t>
      </w:r>
    </w:p>
    <w:p w14:paraId="468D2F4F" w14:textId="37E11F0A" w:rsidR="00463997" w:rsidRPr="00383607" w:rsidRDefault="00463997" w:rsidP="008E23CA">
      <w:pPr>
        <w:pStyle w:val="ListParagraph"/>
        <w:numPr>
          <w:ilvl w:val="0"/>
          <w:numId w:val="25"/>
        </w:numPr>
        <w:spacing w:after="0" w:line="480" w:lineRule="auto"/>
      </w:pPr>
      <w:bookmarkStart w:id="14" w:name="_Hlk25001307"/>
      <w:r w:rsidRPr="00383607">
        <w:t xml:space="preserve">A slightly </w:t>
      </w:r>
      <w:r w:rsidR="002444F2" w:rsidRPr="00383607">
        <w:t>lower</w:t>
      </w:r>
      <w:r w:rsidRPr="00383607">
        <w:t xml:space="preserve"> improvement in risk-adjusted changes in self-score and mobility scores in patients in CAH swing beds</w:t>
      </w:r>
      <w:r w:rsidR="002444F2" w:rsidRPr="00383607">
        <w:t xml:space="preserve"> compared to all U.S. SNFs. </w:t>
      </w:r>
      <w:r w:rsidR="008B0F21" w:rsidRPr="00383607">
        <w:t>It should be noted that the</w:t>
      </w:r>
      <w:r w:rsidRPr="00383607">
        <w:t xml:space="preserve"> </w:t>
      </w:r>
      <w:r w:rsidR="00AE6BE2" w:rsidRPr="00383607">
        <w:t>percent</w:t>
      </w:r>
      <w:r w:rsidRPr="00383607">
        <w:t xml:space="preserve"> improvement </w:t>
      </w:r>
      <w:r w:rsidR="00385A9E" w:rsidRPr="00383607">
        <w:t xml:space="preserve">from admission to discharge </w:t>
      </w:r>
      <w:r w:rsidRPr="00383607">
        <w:t xml:space="preserve">based on the average score at admission cannot be compared as this information is </w:t>
      </w:r>
      <w:r w:rsidR="00E27A4F" w:rsidRPr="00383607">
        <w:t xml:space="preserve">not currently </w:t>
      </w:r>
      <w:r w:rsidRPr="00383607">
        <w:t>availa</w:t>
      </w:r>
      <w:r w:rsidR="00E27A4F" w:rsidRPr="00383607">
        <w:t>b</w:t>
      </w:r>
      <w:r w:rsidRPr="00383607">
        <w:t xml:space="preserve">le </w:t>
      </w:r>
      <w:r w:rsidR="00E27A4F" w:rsidRPr="00383607">
        <w:t>on the CMS website for</w:t>
      </w:r>
      <w:r w:rsidRPr="00383607">
        <w:t xml:space="preserve"> SNF patients.</w:t>
      </w:r>
    </w:p>
    <w:bookmarkEnd w:id="14"/>
    <w:p w14:paraId="1D26CE0E" w14:textId="77777777" w:rsidR="00E27A4F" w:rsidRDefault="00E27A4F" w:rsidP="008E23CA">
      <w:pPr>
        <w:spacing w:after="0" w:line="480" w:lineRule="auto"/>
      </w:pPr>
    </w:p>
    <w:p w14:paraId="16C77C35" w14:textId="4545ADBC" w:rsidR="00E27A4F" w:rsidRPr="00E27A4F" w:rsidRDefault="00E27A4F" w:rsidP="008E23CA">
      <w:pPr>
        <w:spacing w:after="0" w:line="480" w:lineRule="auto"/>
        <w:rPr>
          <w:b/>
        </w:rPr>
      </w:pPr>
      <w:r w:rsidRPr="00E27A4F">
        <w:rPr>
          <w:b/>
        </w:rPr>
        <w:t>Conclusion</w:t>
      </w:r>
    </w:p>
    <w:p w14:paraId="5B93FF50" w14:textId="35D8DD5A" w:rsidR="00E27A4F" w:rsidRDefault="00E27A4F" w:rsidP="008E23CA">
      <w:pPr>
        <w:spacing w:after="0" w:line="480" w:lineRule="auto"/>
      </w:pPr>
      <w:r>
        <w:t xml:space="preserve">This study identified measures that can be used to assess </w:t>
      </w:r>
      <w:r w:rsidR="008B0F21">
        <w:t>quality</w:t>
      </w:r>
      <w:r>
        <w:t xml:space="preserve"> for CAH swing bed patients, discussed the results of a field test of these measures and compare</w:t>
      </w:r>
      <w:r w:rsidR="008B0F21">
        <w:t>d</w:t>
      </w:r>
      <w:r>
        <w:t xml:space="preserve"> patient outcomes in CAH swing beds with those achieved in SNFs. </w:t>
      </w:r>
      <w:r w:rsidR="00115870">
        <w:t>The results indicate</w:t>
      </w:r>
      <w:r>
        <w:t xml:space="preserve"> that:</w:t>
      </w:r>
    </w:p>
    <w:p w14:paraId="3860FDC3" w14:textId="6B9B9015" w:rsidR="00E27A4F" w:rsidRDefault="00E27A4F" w:rsidP="00A71A20">
      <w:pPr>
        <w:pStyle w:val="ListParagraph"/>
        <w:numPr>
          <w:ilvl w:val="0"/>
          <w:numId w:val="27"/>
        </w:numPr>
        <w:spacing w:after="0" w:line="480" w:lineRule="auto"/>
      </w:pPr>
      <w:r>
        <w:t>Relevant quality measures for</w:t>
      </w:r>
      <w:r w:rsidR="00115870">
        <w:t xml:space="preserve"> CAH swing bed patients include</w:t>
      </w:r>
      <w:r>
        <w:t xml:space="preserve"> outcome and functional status components. Two types of outcome measures include </w:t>
      </w:r>
      <w:r w:rsidR="00385A9E">
        <w:t>the percent of</w:t>
      </w:r>
      <w:r>
        <w:t xml:space="preserve"> swing bed patient</w:t>
      </w:r>
      <w:r w:rsidR="00115870">
        <w:t>s</w:t>
      </w:r>
      <w:r>
        <w:t xml:space="preserve"> discharged to the community or prior residence, and risk-adj</w:t>
      </w:r>
      <w:r w:rsidRPr="00E965ED">
        <w:t>usted 30</w:t>
      </w:r>
      <w:r w:rsidR="00E965ED" w:rsidRPr="00E965ED">
        <w:t>-</w:t>
      </w:r>
      <w:r w:rsidRPr="00E965ED">
        <w:t>day</w:t>
      </w:r>
      <w:r>
        <w:t xml:space="preserve"> hospital readmission rate post swing bed stay. Two types of relevant swing bed patient functional assessme</w:t>
      </w:r>
      <w:r w:rsidR="00115870">
        <w:t>nt measures include</w:t>
      </w:r>
      <w:r>
        <w:t xml:space="preserve"> changes in self-care score and mobility score between swing bed admission and discharge.</w:t>
      </w:r>
    </w:p>
    <w:p w14:paraId="0692456D" w14:textId="44D056FC" w:rsidR="00A71A20" w:rsidRDefault="00385A9E" w:rsidP="00A71A20">
      <w:pPr>
        <w:pStyle w:val="ListParagraph"/>
        <w:numPr>
          <w:ilvl w:val="0"/>
          <w:numId w:val="27"/>
        </w:numPr>
        <w:spacing w:after="0" w:line="480" w:lineRule="auto"/>
      </w:pPr>
      <w:r>
        <w:t>R</w:t>
      </w:r>
      <w:r w:rsidR="00A71A20">
        <w:t xml:space="preserve">elevant hospital staff </w:t>
      </w:r>
      <w:r>
        <w:t xml:space="preserve">were successfully trained </w:t>
      </w:r>
      <w:r w:rsidR="00A71A20">
        <w:t>to collect detailed information on the outcome and functional status measures describe</w:t>
      </w:r>
      <w:r w:rsidR="00115870">
        <w:t xml:space="preserve">d above as well as information on </w:t>
      </w:r>
      <w:r w:rsidR="00A71A20">
        <w:t>patient characteristics necessary for risk adjustment.</w:t>
      </w:r>
    </w:p>
    <w:p w14:paraId="68B47F71" w14:textId="390BAAE7" w:rsidR="00A71A20" w:rsidRPr="00383607" w:rsidRDefault="00A71A20" w:rsidP="00A71A20">
      <w:pPr>
        <w:pStyle w:val="ListParagraph"/>
        <w:numPr>
          <w:ilvl w:val="0"/>
          <w:numId w:val="27"/>
        </w:numPr>
        <w:spacing w:after="0" w:line="480" w:lineRule="auto"/>
      </w:pPr>
      <w:r>
        <w:t xml:space="preserve">Based on multiple data sources, the overall risk-adjusted hospital readmission rate (during the </w:t>
      </w:r>
      <w:r w:rsidRPr="00383607">
        <w:t>swing bed stay and 30 day</w:t>
      </w:r>
      <w:r w:rsidR="00115870" w:rsidRPr="00383607">
        <w:t>s</w:t>
      </w:r>
      <w:r w:rsidRPr="00383607">
        <w:t xml:space="preserve"> post discharge) for CAH swing bed patient</w:t>
      </w:r>
      <w:r w:rsidR="00115870" w:rsidRPr="00383607">
        <w:t>s</w:t>
      </w:r>
      <w:r w:rsidRPr="00383607">
        <w:t xml:space="preserve"> of 18.6% was significantly lower than the overall risk-adjusted hospital readmission rate for rural SNF patients of 33.3%.</w:t>
      </w:r>
    </w:p>
    <w:p w14:paraId="68AD600D" w14:textId="2EF32650" w:rsidR="00A71A20" w:rsidRPr="00383607" w:rsidRDefault="00A71A20" w:rsidP="00A71A20">
      <w:pPr>
        <w:pStyle w:val="ListParagraph"/>
        <w:numPr>
          <w:ilvl w:val="0"/>
          <w:numId w:val="27"/>
        </w:numPr>
        <w:spacing w:after="0" w:line="480" w:lineRule="auto"/>
      </w:pPr>
      <w:bookmarkStart w:id="15" w:name="_Hlk25002098"/>
      <w:r w:rsidRPr="00383607">
        <w:t>The improvement in risk-adjusted changes in self-care and mobility scores were similar for CAH swing bed patient</w:t>
      </w:r>
      <w:r w:rsidR="00115870" w:rsidRPr="00383607">
        <w:t>s</w:t>
      </w:r>
      <w:r w:rsidRPr="00383607">
        <w:t xml:space="preserve"> and a</w:t>
      </w:r>
      <w:r w:rsidR="00115870" w:rsidRPr="00383607">
        <w:t>l</w:t>
      </w:r>
      <w:r w:rsidRPr="00383607">
        <w:t>l S</w:t>
      </w:r>
      <w:r w:rsidR="00115870" w:rsidRPr="00383607">
        <w:t>NF patients in the U.</w:t>
      </w:r>
      <w:r w:rsidRPr="00383607">
        <w:t>S. Unfortunately, similar information just for rural SNF patients is not currently available on the CMS website.</w:t>
      </w:r>
    </w:p>
    <w:bookmarkEnd w:id="15"/>
    <w:p w14:paraId="6F62E9E0" w14:textId="5B288C18" w:rsidR="00A71A20" w:rsidRDefault="00A71A20" w:rsidP="00A71A20">
      <w:pPr>
        <w:pStyle w:val="ListParagraph"/>
        <w:numPr>
          <w:ilvl w:val="0"/>
          <w:numId w:val="27"/>
        </w:numPr>
        <w:spacing w:after="0" w:line="480" w:lineRule="auto"/>
      </w:pPr>
      <w:r>
        <w:t>The</w:t>
      </w:r>
      <w:r w:rsidR="00385A9E">
        <w:t>se</w:t>
      </w:r>
      <w:r>
        <w:t xml:space="preserve"> results </w:t>
      </w:r>
      <w:r w:rsidR="00385A9E">
        <w:t>contribute to the development of</w:t>
      </w:r>
      <w:r>
        <w:t xml:space="preserve"> a national </w:t>
      </w:r>
      <w:r w:rsidR="00115870">
        <w:t>evidence base</w:t>
      </w:r>
      <w:r w:rsidR="004C4827">
        <w:t xml:space="preserve"> </w:t>
      </w:r>
      <w:r w:rsidR="001F32AB">
        <w:t>that quantifies</w:t>
      </w:r>
      <w:r w:rsidR="004C4827">
        <w:t xml:space="preserve"> the cost and quality dimensions of CAH swing beds </w:t>
      </w:r>
      <w:r w:rsidR="001F32AB">
        <w:t>and</w:t>
      </w:r>
      <w:r w:rsidR="004C4827">
        <w:t xml:space="preserve"> allow</w:t>
      </w:r>
      <w:r w:rsidR="001F32AB">
        <w:t>s</w:t>
      </w:r>
      <w:r w:rsidR="004C4827">
        <w:t xml:space="preserve"> fair comparison</w:t>
      </w:r>
      <w:r w:rsidR="001F32AB">
        <w:t>s</w:t>
      </w:r>
      <w:r w:rsidR="004C4827">
        <w:t xml:space="preserve"> with other rural post-acute care options such as SNFs.</w:t>
      </w:r>
    </w:p>
    <w:p w14:paraId="48D9918F" w14:textId="77777777" w:rsidR="004C4827" w:rsidRDefault="004C4827" w:rsidP="003916D5">
      <w:pPr>
        <w:spacing w:after="0" w:line="480" w:lineRule="auto"/>
        <w:rPr>
          <w:i/>
        </w:rPr>
      </w:pPr>
    </w:p>
    <w:p w14:paraId="0B794489" w14:textId="55AADBC3" w:rsidR="00092D69" w:rsidRPr="008F100A" w:rsidRDefault="00092D69" w:rsidP="003916D5">
      <w:pPr>
        <w:spacing w:after="0" w:line="480" w:lineRule="auto"/>
        <w:rPr>
          <w:b/>
          <w:bCs/>
        </w:rPr>
      </w:pPr>
      <w:r w:rsidRPr="008F100A">
        <w:rPr>
          <w:b/>
          <w:bCs/>
        </w:rPr>
        <w:t>References</w:t>
      </w:r>
    </w:p>
    <w:p w14:paraId="4646FB89" w14:textId="0B35C489" w:rsidR="00092D69" w:rsidRPr="008F100A" w:rsidRDefault="00092D69" w:rsidP="003916D5">
      <w:pPr>
        <w:widowControl w:val="0"/>
        <w:numPr>
          <w:ilvl w:val="1"/>
          <w:numId w:val="10"/>
        </w:numPr>
        <w:spacing w:after="0" w:line="480" w:lineRule="auto"/>
      </w:pPr>
      <w:r w:rsidRPr="008F100A">
        <w:t xml:space="preserve">Centers for Medicare &amp; Medicaid Services. </w:t>
      </w:r>
      <w:r w:rsidR="00DA7761" w:rsidRPr="008F100A">
        <w:t xml:space="preserve">Swing Bed Services. Available at: </w:t>
      </w:r>
      <w:hyperlink r:id="rId8" w:history="1">
        <w:r w:rsidR="00DA7761" w:rsidRPr="008F100A">
          <w:rPr>
            <w:rStyle w:val="Hyperlink"/>
          </w:rPr>
          <w:t>https://www.cms.gov/Outreach-and-Education/Medicare-Learning-Network-MLN/MLNProducts/downloads/SwingBedFactsheet.pdf</w:t>
        </w:r>
      </w:hyperlink>
    </w:p>
    <w:p w14:paraId="2C2C805A" w14:textId="77777777" w:rsidR="00DA7761" w:rsidRPr="008F100A" w:rsidRDefault="00DA7761" w:rsidP="003916D5">
      <w:pPr>
        <w:widowControl w:val="0"/>
        <w:numPr>
          <w:ilvl w:val="1"/>
          <w:numId w:val="10"/>
        </w:numPr>
        <w:spacing w:after="0" w:line="480" w:lineRule="auto"/>
      </w:pPr>
      <w:r w:rsidRPr="008F100A">
        <w:t xml:space="preserve">Flex Monitoring Team. CAH Database. July 12, 2017. </w:t>
      </w:r>
      <w:hyperlink r:id="rId9" w:history="1">
        <w:r w:rsidRPr="008F100A">
          <w:rPr>
            <w:rStyle w:val="Hyperlink"/>
          </w:rPr>
          <w:t>http://www.flexmonitoring.org/data/critical-access-hospital-locations/</w:t>
        </w:r>
      </w:hyperlink>
    </w:p>
    <w:p w14:paraId="4244BE68" w14:textId="570245F0" w:rsidR="00092D69" w:rsidRPr="008F100A" w:rsidRDefault="00092D69" w:rsidP="003916D5">
      <w:pPr>
        <w:widowControl w:val="0"/>
        <w:numPr>
          <w:ilvl w:val="1"/>
          <w:numId w:val="10"/>
        </w:numPr>
        <w:spacing w:after="0" w:line="480" w:lineRule="auto"/>
      </w:pPr>
      <w:r w:rsidRPr="008F100A">
        <w:t xml:space="preserve">Office of Inspector General (OIG). Medicare could have saved billions at Critical Access Hospitals if </w:t>
      </w:r>
      <w:r w:rsidR="00436120">
        <w:t>swing bed</w:t>
      </w:r>
      <w:r w:rsidRPr="008F100A">
        <w:t xml:space="preserve"> services were reimbursed using the skilled nursing facility prospective payment system rates. March 2015. </w:t>
      </w:r>
      <w:hyperlink r:id="rId10">
        <w:r w:rsidRPr="008F100A">
          <w:rPr>
            <w:rStyle w:val="Hyperlink"/>
          </w:rPr>
          <w:t>http://oig.hhs.gov/oas/reports/region5/51200046.pdf</w:t>
        </w:r>
      </w:hyperlink>
    </w:p>
    <w:p w14:paraId="62498115" w14:textId="77777777" w:rsidR="00092D69" w:rsidRPr="008F100A" w:rsidRDefault="00092D69" w:rsidP="003916D5">
      <w:pPr>
        <w:widowControl w:val="0"/>
        <w:numPr>
          <w:ilvl w:val="1"/>
          <w:numId w:val="10"/>
        </w:numPr>
        <w:spacing w:after="0" w:line="480" w:lineRule="auto"/>
      </w:pPr>
      <w:r w:rsidRPr="008F100A">
        <w:t>Reiter K, Holmes GM. A critique of the Office of Inspector General’s report on swing beds in Critical Access Hospitals. Policy Brief. NC Rural Health Research Program. March 2015.</w:t>
      </w:r>
    </w:p>
    <w:p w14:paraId="0429AEBC" w14:textId="5B61CDFC" w:rsidR="00DE04CF" w:rsidRPr="004C4827" w:rsidRDefault="00092D69" w:rsidP="003916D5">
      <w:pPr>
        <w:widowControl w:val="0"/>
        <w:numPr>
          <w:ilvl w:val="1"/>
          <w:numId w:val="10"/>
        </w:numPr>
        <w:spacing w:after="0" w:line="480" w:lineRule="auto"/>
        <w:rPr>
          <w:rStyle w:val="Hyperlink"/>
          <w:color w:val="auto"/>
          <w:u w:val="none"/>
        </w:rPr>
      </w:pPr>
      <w:r w:rsidRPr="008F100A">
        <w:t>NQF. Measure Application</w:t>
      </w:r>
      <w:r w:rsidR="00DE04CF" w:rsidRPr="008F100A">
        <w:t>s</w:t>
      </w:r>
      <w:r w:rsidRPr="008F100A">
        <w:t xml:space="preserve"> Partnership</w:t>
      </w:r>
      <w:r w:rsidR="00DE04CF" w:rsidRPr="008F100A">
        <w:t>. Considerations for Implementing Measures in Federal Programs:</w:t>
      </w:r>
      <w:r w:rsidRPr="008F100A">
        <w:t xml:space="preserve"> Post-Acute Care and Long Term Care.  </w:t>
      </w:r>
      <w:r w:rsidR="00DE04CF" w:rsidRPr="008F100A">
        <w:t xml:space="preserve">Final Report. February 15, 2017. </w:t>
      </w:r>
      <w:hyperlink r:id="rId11" w:history="1">
        <w:r w:rsidR="00DE04CF" w:rsidRPr="008F100A">
          <w:rPr>
            <w:rStyle w:val="Hyperlink"/>
          </w:rPr>
          <w:t>http://www.qualityforum.org/Publications/2017/02/MAP_2017_Considerations_for_Implementing_Measures_in_Federal_Programs_-_PAC-LTC.aspx</w:t>
        </w:r>
      </w:hyperlink>
    </w:p>
    <w:p w14:paraId="522821ED" w14:textId="72C761CA" w:rsidR="004C4827" w:rsidRPr="008F100A" w:rsidRDefault="004C4827" w:rsidP="003916D5">
      <w:pPr>
        <w:widowControl w:val="0"/>
        <w:numPr>
          <w:ilvl w:val="1"/>
          <w:numId w:val="10"/>
        </w:numPr>
        <w:spacing w:after="0" w:line="480" w:lineRule="auto"/>
      </w:pPr>
      <w:r>
        <w:t xml:space="preserve">Casey M, Moscovice I, Stabler H. Quality Measures for Critical Access Hospital </w:t>
      </w:r>
      <w:r w:rsidR="00436120">
        <w:t>Swing bed</w:t>
      </w:r>
      <w:r>
        <w:t xml:space="preserve"> Patients, University of Minnesota Rural Health Research Center Policy Brief, October 2019. </w:t>
      </w:r>
      <w:hyperlink r:id="rId12" w:history="1">
        <w:r>
          <w:rPr>
            <w:rStyle w:val="Hyperlink"/>
          </w:rPr>
          <w:t>https://rhrc.umn.edu/publication/quality-measures-for-critical-access-hospital-</w:t>
        </w:r>
        <w:r w:rsidR="00436120">
          <w:rPr>
            <w:rStyle w:val="Hyperlink"/>
          </w:rPr>
          <w:t>swing bed</w:t>
        </w:r>
        <w:r>
          <w:rPr>
            <w:rStyle w:val="Hyperlink"/>
          </w:rPr>
          <w:t>-patients/</w:t>
        </w:r>
      </w:hyperlink>
    </w:p>
    <w:p w14:paraId="4E2105F7" w14:textId="77777777" w:rsidR="00FE67FD" w:rsidRPr="008F100A" w:rsidRDefault="009B4FFE" w:rsidP="003916D5">
      <w:pPr>
        <w:widowControl w:val="0"/>
        <w:numPr>
          <w:ilvl w:val="1"/>
          <w:numId w:val="10"/>
        </w:numPr>
        <w:spacing w:after="0" w:line="480" w:lineRule="auto"/>
      </w:pPr>
      <w:r w:rsidRPr="008F100A">
        <w:t xml:space="preserve">CMS. </w:t>
      </w:r>
      <w:r w:rsidR="00DE04CF" w:rsidRPr="008F100A">
        <w:t xml:space="preserve">IMPACT Act of 2014 Data Standardization &amp; Cross Setting Measures. </w:t>
      </w:r>
      <w:hyperlink r:id="rId13" w:history="1">
        <w:r w:rsidR="00DE04CF" w:rsidRPr="008F100A">
          <w:rPr>
            <w:rStyle w:val="Hyperlink"/>
          </w:rPr>
          <w:t>https://www.cms.gov/Medicare/Quality-Initiatives-Patient-Assessment-Instruments/Post-Acute-Care-Quality-Initiatives/IMPACT-Act-of-2014/IMPACT-Act-of-2014-Data-Standardization-and-Cross-Setting-MeasuresMeasures.html</w:t>
        </w:r>
      </w:hyperlink>
    </w:p>
    <w:p w14:paraId="69087900" w14:textId="77777777" w:rsidR="00986C5D" w:rsidRPr="008F100A" w:rsidRDefault="00986C5D" w:rsidP="003916D5">
      <w:pPr>
        <w:widowControl w:val="0"/>
        <w:numPr>
          <w:ilvl w:val="1"/>
          <w:numId w:val="10"/>
        </w:numPr>
        <w:spacing w:after="0" w:line="480" w:lineRule="auto"/>
      </w:pPr>
      <w:r w:rsidRPr="008F100A">
        <w:rPr>
          <w:rStyle w:val="Hyperlink"/>
          <w:i/>
          <w:color w:val="auto"/>
          <w:u w:val="none"/>
        </w:rPr>
        <w:t xml:space="preserve">MDS </w:t>
      </w:r>
      <w:r w:rsidRPr="008F100A">
        <w:rPr>
          <w:i/>
        </w:rPr>
        <w:t xml:space="preserve">revised Section GG for SNFs effective October 1, 2018 is available at: </w:t>
      </w:r>
      <w:hyperlink r:id="rId14" w:history="1">
        <w:r w:rsidRPr="008F100A">
          <w:rPr>
            <w:rStyle w:val="Hyperlink"/>
          </w:rPr>
          <w:t>https://www.cms.gov/Medicare/Quality-Initiatives-Patient-Assessment-Instruments/NursingHomeQualityInits/Downloads/Final-MDS-30-Data-Set-Version-1160-Effective-October-1-2018.pdf</w:t>
        </w:r>
      </w:hyperlink>
    </w:p>
    <w:p w14:paraId="0516ED57" w14:textId="77777777" w:rsidR="00E16BFF" w:rsidRPr="008F100A" w:rsidRDefault="00E16BFF" w:rsidP="003916D5">
      <w:pPr>
        <w:widowControl w:val="0"/>
        <w:numPr>
          <w:ilvl w:val="1"/>
          <w:numId w:val="10"/>
        </w:numPr>
        <w:spacing w:after="0" w:line="480" w:lineRule="auto"/>
      </w:pPr>
      <w:r w:rsidRPr="008F100A">
        <w:t xml:space="preserve">Mahoney FI, Barthel D. Functional evaluation: The Barthel Index. </w:t>
      </w:r>
      <w:r w:rsidRPr="008F100A">
        <w:rPr>
          <w:i/>
        </w:rPr>
        <w:t xml:space="preserve">Maryland State Medical Journal </w:t>
      </w:r>
      <w:r w:rsidRPr="008F100A">
        <w:t>1965; 14:56-61.</w:t>
      </w:r>
    </w:p>
    <w:p w14:paraId="5B9BCB24" w14:textId="77777777" w:rsidR="00E16BFF" w:rsidRPr="008F100A" w:rsidRDefault="00D80C8F" w:rsidP="003916D5">
      <w:pPr>
        <w:widowControl w:val="0"/>
        <w:numPr>
          <w:ilvl w:val="1"/>
          <w:numId w:val="10"/>
        </w:numPr>
        <w:spacing w:after="0" w:line="480" w:lineRule="auto"/>
      </w:pPr>
      <w:r w:rsidRPr="008F100A">
        <w:t xml:space="preserve">FIM® is a trademark of the Uniform Data System for Medical Rehabilitation, a division of UB Foundation Activities, Inc. </w:t>
      </w:r>
      <w:hyperlink r:id="rId15" w:history="1">
        <w:r w:rsidRPr="008F100A">
          <w:rPr>
            <w:rStyle w:val="Hyperlink"/>
          </w:rPr>
          <w:t>https://www.udsmr.org/WebModules/FIM/Fim_About.aspx</w:t>
        </w:r>
      </w:hyperlink>
    </w:p>
    <w:p w14:paraId="02CD0830" w14:textId="77777777" w:rsidR="00D80C8F" w:rsidRPr="008F100A" w:rsidRDefault="00D80C8F"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Saliba D, Buchanan J. Development &amp; validation of a revised nursing home assessment tool: MDS 3.0. CMS. Rand prepared under MDS 3.0 Validation Contract No. 500-00-0027/Task Order #2, April 2008. </w:t>
      </w:r>
      <w:hyperlink r:id="rId16" w:history="1">
        <w:r w:rsidRPr="008F100A">
          <w:rPr>
            <w:rStyle w:val="Hyperlink"/>
          </w:rPr>
          <w:t>https://www.cms.gov/Medicare/Quality-Initiatives-Patient-Assessment-Instruments/NursingHomeQualityInits/NHQIMDS30.html</w:t>
        </w:r>
      </w:hyperlink>
    </w:p>
    <w:p w14:paraId="0EBFC054" w14:textId="77777777" w:rsidR="006A006C" w:rsidRPr="008F100A" w:rsidRDefault="006A006C"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Duncan PW, Velozo CA. State-of-the-science on </w:t>
      </w:r>
      <w:r w:rsidR="00D63473" w:rsidRPr="008F100A">
        <w:rPr>
          <w:rStyle w:val="Hyperlink"/>
          <w:color w:val="auto"/>
          <w:u w:val="none"/>
        </w:rPr>
        <w:t>postacute rehabilitation</w:t>
      </w:r>
      <w:r w:rsidRPr="008F100A">
        <w:rPr>
          <w:rStyle w:val="Hyperlink"/>
          <w:color w:val="auto"/>
          <w:u w:val="none"/>
        </w:rPr>
        <w:t xml:space="preserve">: Measurement and methodologies for assessing quality and establishing policy for postacute care. </w:t>
      </w:r>
      <w:r w:rsidRPr="008F100A">
        <w:rPr>
          <w:rStyle w:val="Hyperlink"/>
          <w:i/>
          <w:color w:val="auto"/>
          <w:u w:val="none"/>
        </w:rPr>
        <w:t xml:space="preserve">Arch Phys Med Rehabil </w:t>
      </w:r>
      <w:r w:rsidRPr="008F100A">
        <w:rPr>
          <w:rStyle w:val="Hyperlink"/>
          <w:color w:val="auto"/>
          <w:u w:val="none"/>
        </w:rPr>
        <w:t>2007; 88:1482-1487.</w:t>
      </w:r>
    </w:p>
    <w:p w14:paraId="6D421468" w14:textId="77777777" w:rsidR="002D518D" w:rsidRPr="008F100A" w:rsidRDefault="002D518D"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Jette AM, Haley SM, Ni P. Comparison </w:t>
      </w:r>
      <w:r w:rsidR="002B12EB" w:rsidRPr="008F100A">
        <w:rPr>
          <w:rStyle w:val="Hyperlink"/>
          <w:color w:val="auto"/>
          <w:u w:val="none"/>
        </w:rPr>
        <w:t>of functional status tools used in post-acute care</w:t>
      </w:r>
      <w:r w:rsidRPr="008F100A">
        <w:rPr>
          <w:rStyle w:val="Hyperlink"/>
          <w:color w:val="auto"/>
          <w:u w:val="none"/>
        </w:rPr>
        <w:t xml:space="preserve">. </w:t>
      </w:r>
      <w:r w:rsidRPr="008F100A">
        <w:rPr>
          <w:rStyle w:val="Hyperlink"/>
          <w:i/>
          <w:color w:val="auto"/>
          <w:u w:val="none"/>
        </w:rPr>
        <w:t>Health Care Financing Review</w:t>
      </w:r>
      <w:r w:rsidRPr="008F100A">
        <w:rPr>
          <w:rStyle w:val="Hyperlink"/>
          <w:color w:val="auto"/>
          <w:u w:val="none"/>
        </w:rPr>
        <w:t xml:space="preserve"> 2003; 24(3), 13–24.</w:t>
      </w:r>
    </w:p>
    <w:p w14:paraId="1B15CBF9" w14:textId="77777777" w:rsidR="00657DE3" w:rsidRPr="008F100A" w:rsidRDefault="002D518D" w:rsidP="003916D5">
      <w:pPr>
        <w:widowControl w:val="0"/>
        <w:numPr>
          <w:ilvl w:val="1"/>
          <w:numId w:val="10"/>
        </w:numPr>
        <w:spacing w:after="0" w:line="480" w:lineRule="auto"/>
        <w:rPr>
          <w:rStyle w:val="Hyperlink"/>
          <w:color w:val="auto"/>
          <w:u w:val="none"/>
        </w:rPr>
      </w:pPr>
      <w:r w:rsidRPr="008F100A">
        <w:rPr>
          <w:rStyle w:val="Hyperlink"/>
          <w:color w:val="auto"/>
          <w:u w:val="none"/>
        </w:rPr>
        <w:t xml:space="preserve">Hsueh IP, Lin JH, Jeng JS, Hsieh CL. Comparison of the psychometric characteristics of the </w:t>
      </w:r>
      <w:r w:rsidR="00D80C8F" w:rsidRPr="008F100A">
        <w:rPr>
          <w:rStyle w:val="Hyperlink"/>
          <w:color w:val="auto"/>
          <w:u w:val="none"/>
        </w:rPr>
        <w:t>Functional Independence Measure</w:t>
      </w:r>
      <w:r w:rsidRPr="008F100A">
        <w:rPr>
          <w:rStyle w:val="Hyperlink"/>
          <w:color w:val="auto"/>
          <w:u w:val="none"/>
        </w:rPr>
        <w:t>, 5 item Barthel index, and 10 item Barthel index in patients with stroke.</w:t>
      </w:r>
      <w:r w:rsidRPr="008F100A">
        <w:rPr>
          <w:rStyle w:val="Hyperlink"/>
          <w:i/>
          <w:color w:val="auto"/>
          <w:u w:val="none"/>
        </w:rPr>
        <w:t xml:space="preserve"> Journal of Neurology, Neurosurgery &amp; Psychiatry </w:t>
      </w:r>
      <w:r w:rsidRPr="008F100A">
        <w:rPr>
          <w:rStyle w:val="Hyperlink"/>
          <w:color w:val="auto"/>
          <w:u w:val="none"/>
        </w:rPr>
        <w:t>2002; 73(2), 188-190.</w:t>
      </w:r>
    </w:p>
    <w:p w14:paraId="2E3EE267" w14:textId="77777777" w:rsidR="00657DE3" w:rsidRPr="008F100A" w:rsidRDefault="00D80C8F" w:rsidP="003916D5">
      <w:pPr>
        <w:widowControl w:val="0"/>
        <w:numPr>
          <w:ilvl w:val="1"/>
          <w:numId w:val="10"/>
        </w:numPr>
        <w:spacing w:after="0" w:line="480" w:lineRule="auto"/>
      </w:pPr>
      <w:r w:rsidRPr="008F100A">
        <w:t>van der Putten</w:t>
      </w:r>
      <w:r w:rsidR="00657DE3" w:rsidRPr="008F100A">
        <w:t xml:space="preserve"> JJ, Hobart JC, Freeman JA, Thompson AJ. Measuring change in disability after inpatient rehabilitation: comparison of the responsiveness of the Barthel index and the Functional Independence Measure. </w:t>
      </w:r>
      <w:r w:rsidR="00657DE3" w:rsidRPr="008F100A">
        <w:rPr>
          <w:i/>
        </w:rPr>
        <w:t>Journal of Neurology, Neurosurgery &amp; Psychiatry</w:t>
      </w:r>
      <w:r w:rsidR="00657DE3" w:rsidRPr="008F100A">
        <w:t>, 1999: 66(4), 480-484.</w:t>
      </w:r>
    </w:p>
    <w:p w14:paraId="3D80662E" w14:textId="77777777" w:rsidR="00657DE3" w:rsidRPr="008F100A" w:rsidRDefault="00657DE3" w:rsidP="003916D5">
      <w:pPr>
        <w:widowControl w:val="0"/>
        <w:numPr>
          <w:ilvl w:val="1"/>
          <w:numId w:val="10"/>
        </w:numPr>
        <w:spacing w:after="0" w:line="480" w:lineRule="auto"/>
      </w:pPr>
      <w:r w:rsidRPr="008F100A">
        <w:t xml:space="preserve">Williams BC, Li Y, Fries BE, Warren RL. Predicting patient scores between the Functional Independence Measure and the Minimum Data Set: development and performance of a FIM-MDS “crosswalk.” </w:t>
      </w:r>
      <w:r w:rsidRPr="008F100A">
        <w:rPr>
          <w:i/>
        </w:rPr>
        <w:t>Arch Phys Med Rehabil</w:t>
      </w:r>
      <w:r w:rsidRPr="008F100A">
        <w:t xml:space="preserve"> 1997; 78:48-54.</w:t>
      </w:r>
    </w:p>
    <w:p w14:paraId="01DCC79C" w14:textId="77777777" w:rsidR="001C3DD5" w:rsidRPr="008F100A" w:rsidRDefault="00657DE3" w:rsidP="003916D5">
      <w:pPr>
        <w:widowControl w:val="0"/>
        <w:numPr>
          <w:ilvl w:val="1"/>
          <w:numId w:val="10"/>
        </w:numPr>
        <w:spacing w:after="0" w:line="480" w:lineRule="auto"/>
      </w:pPr>
      <w:r w:rsidRPr="008F100A">
        <w:t xml:space="preserve">Shah </w:t>
      </w:r>
      <w:r w:rsidR="001C3DD5" w:rsidRPr="008F100A">
        <w:t xml:space="preserve">S, Vanclay F, Cooper B. Improving the sensitivity of the Barthel Index for stroke rehabilitation. </w:t>
      </w:r>
      <w:r w:rsidR="001C3DD5" w:rsidRPr="008F100A">
        <w:rPr>
          <w:i/>
        </w:rPr>
        <w:t>Clin Epidemiol.</w:t>
      </w:r>
      <w:r w:rsidR="001C3DD5" w:rsidRPr="008F100A">
        <w:t xml:space="preserve"> 1989; 42(8):703-9.</w:t>
      </w:r>
    </w:p>
    <w:p w14:paraId="0DE2576F" w14:textId="77777777" w:rsidR="00910841" w:rsidRDefault="002D518D" w:rsidP="003916D5">
      <w:pPr>
        <w:widowControl w:val="0"/>
        <w:numPr>
          <w:ilvl w:val="1"/>
          <w:numId w:val="10"/>
        </w:numPr>
        <w:spacing w:after="0" w:line="480" w:lineRule="auto"/>
        <w:rPr>
          <w:rStyle w:val="Hyperlink"/>
        </w:rPr>
      </w:pPr>
      <w:r w:rsidRPr="008F100A">
        <w:rPr>
          <w:rStyle w:val="Hyperlink"/>
          <w:color w:val="auto"/>
          <w:u w:val="none"/>
        </w:rPr>
        <w:t xml:space="preserve">Wysocki A, </w:t>
      </w:r>
      <w:r w:rsidR="00D63473" w:rsidRPr="008F100A">
        <w:rPr>
          <w:rStyle w:val="Hyperlink"/>
          <w:color w:val="auto"/>
          <w:u w:val="none"/>
        </w:rPr>
        <w:t xml:space="preserve">Kali ST, Mor V. </w:t>
      </w:r>
      <w:r w:rsidRPr="008F100A">
        <w:rPr>
          <w:rStyle w:val="Hyperlink"/>
          <w:color w:val="auto"/>
          <w:u w:val="none"/>
        </w:rPr>
        <w:t>Functional</w:t>
      </w:r>
      <w:r w:rsidR="002B12EB" w:rsidRPr="008F100A">
        <w:rPr>
          <w:rStyle w:val="Hyperlink"/>
          <w:color w:val="auto"/>
          <w:u w:val="none"/>
        </w:rPr>
        <w:t xml:space="preserve"> improvement among short-stay nursing home residents</w:t>
      </w:r>
      <w:r w:rsidRPr="008F100A">
        <w:rPr>
          <w:rStyle w:val="Hyperlink"/>
          <w:color w:val="auto"/>
          <w:u w:val="none"/>
        </w:rPr>
        <w:t xml:space="preserve"> in the MDS 3.0. </w:t>
      </w:r>
      <w:r w:rsidR="00D63473" w:rsidRPr="008F100A">
        <w:rPr>
          <w:rStyle w:val="Hyperlink"/>
          <w:i/>
          <w:color w:val="auto"/>
          <w:u w:val="none"/>
        </w:rPr>
        <w:t>JAMDA</w:t>
      </w:r>
      <w:r w:rsidR="00D63473" w:rsidRPr="008F100A">
        <w:rPr>
          <w:rStyle w:val="Hyperlink"/>
          <w:color w:val="auto"/>
          <w:u w:val="none"/>
        </w:rPr>
        <w:t xml:space="preserve"> 2015; 16(6):470-474. </w:t>
      </w:r>
      <w:hyperlink r:id="rId17" w:history="1">
        <w:r w:rsidR="00D63473" w:rsidRPr="008F100A">
          <w:rPr>
            <w:rStyle w:val="Hyperlink"/>
          </w:rPr>
          <w:t>http://dx.doi.org/10.1016/j.jamda.2014.11.018</w:t>
        </w:r>
      </w:hyperlink>
    </w:p>
    <w:p w14:paraId="01DC8FCF" w14:textId="77777777" w:rsidR="00E31F06" w:rsidRPr="008F100A" w:rsidRDefault="00E31F06" w:rsidP="003916D5">
      <w:pPr>
        <w:widowControl w:val="0"/>
        <w:numPr>
          <w:ilvl w:val="1"/>
          <w:numId w:val="10"/>
        </w:numPr>
        <w:spacing w:after="0" w:line="480" w:lineRule="auto"/>
        <w:rPr>
          <w:rStyle w:val="Hyperlink"/>
          <w:color w:val="auto"/>
          <w:u w:val="none"/>
        </w:rPr>
      </w:pPr>
      <w:r w:rsidRPr="008F100A">
        <w:t xml:space="preserve">Additional information about the functional outcome measures for SNFs, methods to calculate them, and risk-adjustment are described in: </w:t>
      </w:r>
      <w:r w:rsidRPr="008F100A">
        <w:rPr>
          <w:i/>
        </w:rPr>
        <w:t xml:space="preserve">Final Specifications for SNF QRP Quality Measures and Standardized Resident Assessment Data Elements, August 2017. Prepared for the Center for Clinical Standards and Quality, Centers for Medicare &amp; Medicaid Services by RTI International. Available at: </w:t>
      </w:r>
      <w:hyperlink r:id="rId18" w:history="1">
        <w:r w:rsidRPr="008F100A">
          <w:rPr>
            <w:rStyle w:val="Hyperlink"/>
          </w:rPr>
          <w:t>https://www.cms.gov/Medicare/Quality-Initiatives-Patient-Assessment-Instruments/NursingHomeQualityInits/Downloads/Final-Specifications-for-SNF-QRP-Quality-Measures-and-Standardized-Resident-Assessment-Data-Elements-Effective-October-1-2018.pdf</w:t>
        </w:r>
      </w:hyperlink>
    </w:p>
    <w:p w14:paraId="3F40F3CD" w14:textId="3BFD3D24" w:rsidR="001F32AB" w:rsidRDefault="001F32AB">
      <w:pPr>
        <w:rPr>
          <w:rStyle w:val="Hyperlink"/>
        </w:rPr>
      </w:pPr>
      <w:r>
        <w:rPr>
          <w:rStyle w:val="Hyperlink"/>
        </w:rPr>
        <w:br w:type="page"/>
      </w:r>
    </w:p>
    <w:p w14:paraId="1D23098D" w14:textId="4B73F87F" w:rsidR="001F32AB" w:rsidRPr="003F0046" w:rsidRDefault="001F32AB" w:rsidP="001F32AB">
      <w:pPr>
        <w:spacing w:line="480" w:lineRule="auto"/>
        <w:rPr>
          <w:rFonts w:ascii="Arial" w:hAnsi="Arial" w:cs="Arial"/>
          <w:sz w:val="22"/>
          <w:szCs w:val="22"/>
        </w:rPr>
      </w:pPr>
      <w:r w:rsidRPr="003F0046">
        <w:rPr>
          <w:rFonts w:ascii="Arial" w:hAnsi="Arial" w:cs="Arial"/>
          <w:b/>
          <w:bCs/>
          <w:sz w:val="22"/>
          <w:szCs w:val="22"/>
        </w:rPr>
        <w:t>Figure 1:</w:t>
      </w:r>
      <w:r w:rsidRPr="003F0046">
        <w:rPr>
          <w:rFonts w:ascii="Arial" w:hAnsi="Arial" w:cs="Arial"/>
          <w:sz w:val="22"/>
          <w:szCs w:val="22"/>
        </w:rPr>
        <w:t xml:space="preserve"> </w:t>
      </w:r>
      <w:r w:rsidRPr="00A33703">
        <w:rPr>
          <w:rFonts w:ascii="Arial" w:hAnsi="Arial" w:cs="Arial"/>
          <w:b/>
          <w:sz w:val="22"/>
          <w:szCs w:val="22"/>
        </w:rPr>
        <w:t>States with CAHs Participating in Field Test</w:t>
      </w:r>
    </w:p>
    <w:p w14:paraId="643215E0" w14:textId="77777777" w:rsidR="001F32AB" w:rsidRPr="003F0046" w:rsidRDefault="001F32AB" w:rsidP="001F32AB">
      <w:pPr>
        <w:spacing w:line="480" w:lineRule="auto"/>
        <w:rPr>
          <w:rFonts w:ascii="Arial" w:hAnsi="Arial" w:cs="Arial"/>
          <w:sz w:val="22"/>
          <w:szCs w:val="22"/>
        </w:rPr>
      </w:pPr>
    </w:p>
    <w:p w14:paraId="707E204B" w14:textId="77777777" w:rsidR="001F32AB" w:rsidRPr="003F0046" w:rsidRDefault="001F32AB" w:rsidP="001F32AB">
      <w:pPr>
        <w:spacing w:line="480" w:lineRule="auto"/>
        <w:jc w:val="center"/>
        <w:rPr>
          <w:rFonts w:ascii="Arial" w:hAnsi="Arial" w:cs="Arial"/>
          <w:sz w:val="22"/>
          <w:szCs w:val="22"/>
        </w:rPr>
      </w:pPr>
      <w:r w:rsidRPr="003F0046">
        <w:rPr>
          <w:rFonts w:ascii="Arial" w:hAnsi="Arial" w:cs="Arial"/>
          <w:noProof/>
          <w:sz w:val="22"/>
          <w:szCs w:val="22"/>
        </w:rPr>
        <w:drawing>
          <wp:inline distT="0" distB="0" distL="0" distR="0" wp14:anchorId="31A9C8FF" wp14:editId="599099E7">
            <wp:extent cx="3785191" cy="2401142"/>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5191" cy="2401142"/>
                    </a:xfrm>
                    <a:prstGeom prst="rect">
                      <a:avLst/>
                    </a:prstGeom>
                  </pic:spPr>
                </pic:pic>
              </a:graphicData>
            </a:graphic>
          </wp:inline>
        </w:drawing>
      </w:r>
    </w:p>
    <w:p w14:paraId="7D1F5ED9" w14:textId="77777777" w:rsidR="00B07D35" w:rsidRDefault="00B07D35" w:rsidP="003916D5">
      <w:pPr>
        <w:spacing w:line="480" w:lineRule="auto"/>
        <w:rPr>
          <w:rStyle w:val="Hyperlink"/>
        </w:rPr>
      </w:pPr>
    </w:p>
    <w:p w14:paraId="39D5CBFA" w14:textId="77777777" w:rsidR="00B07D35" w:rsidRDefault="00B07D35" w:rsidP="003916D5">
      <w:pPr>
        <w:spacing w:line="480" w:lineRule="auto"/>
        <w:rPr>
          <w:rStyle w:val="Hyperlink"/>
        </w:rPr>
      </w:pPr>
      <w:r>
        <w:rPr>
          <w:rStyle w:val="Hyperlink"/>
        </w:rPr>
        <w:br w:type="page"/>
      </w:r>
    </w:p>
    <w:tbl>
      <w:tblPr>
        <w:tblStyle w:val="TableGrid"/>
        <w:tblW w:w="10296" w:type="dxa"/>
        <w:tblLook w:val="04A0" w:firstRow="1" w:lastRow="0" w:firstColumn="1" w:lastColumn="0" w:noHBand="0" w:noVBand="1"/>
      </w:tblPr>
      <w:tblGrid>
        <w:gridCol w:w="1525"/>
        <w:gridCol w:w="5310"/>
        <w:gridCol w:w="3461"/>
      </w:tblGrid>
      <w:tr w:rsidR="00B07D35" w:rsidRPr="00286003" w14:paraId="25E69C26" w14:textId="77777777" w:rsidTr="0005624E">
        <w:trPr>
          <w:trHeight w:val="332"/>
        </w:trPr>
        <w:tc>
          <w:tcPr>
            <w:tcW w:w="10296" w:type="dxa"/>
            <w:gridSpan w:val="3"/>
          </w:tcPr>
          <w:p w14:paraId="59FEFAC1" w14:textId="40F1DA48" w:rsidR="00B07D35" w:rsidRPr="00286003" w:rsidRDefault="00B07D35" w:rsidP="00385A9E">
            <w:pPr>
              <w:rPr>
                <w:b/>
              </w:rPr>
            </w:pPr>
            <w:r w:rsidRPr="00286003">
              <w:rPr>
                <w:b/>
              </w:rPr>
              <w:t xml:space="preserve">Table 1. Recommended CAH </w:t>
            </w:r>
            <w:r w:rsidR="00436120">
              <w:rPr>
                <w:b/>
              </w:rPr>
              <w:t xml:space="preserve">Swing </w:t>
            </w:r>
            <w:r w:rsidR="00385A9E">
              <w:rPr>
                <w:b/>
              </w:rPr>
              <w:t>B</w:t>
            </w:r>
            <w:r w:rsidR="00436120">
              <w:rPr>
                <w:b/>
              </w:rPr>
              <w:t>ed</w:t>
            </w:r>
            <w:r w:rsidRPr="00286003">
              <w:rPr>
                <w:b/>
              </w:rPr>
              <w:t xml:space="preserve"> </w:t>
            </w:r>
            <w:r>
              <w:rPr>
                <w:b/>
              </w:rPr>
              <w:t xml:space="preserve">Outcome </w:t>
            </w:r>
            <w:r w:rsidRPr="00286003">
              <w:rPr>
                <w:b/>
              </w:rPr>
              <w:t>Measures</w:t>
            </w:r>
          </w:p>
        </w:tc>
      </w:tr>
      <w:tr w:rsidR="00B07D35" w14:paraId="2468A591" w14:textId="77777777" w:rsidTr="003A16BC">
        <w:tc>
          <w:tcPr>
            <w:tcW w:w="1525" w:type="dxa"/>
          </w:tcPr>
          <w:p w14:paraId="1B013613" w14:textId="77777777" w:rsidR="00B07D35" w:rsidRPr="00027D35" w:rsidRDefault="00B07D35" w:rsidP="00E668AE">
            <w:r>
              <w:t>Outcome</w:t>
            </w:r>
          </w:p>
        </w:tc>
        <w:tc>
          <w:tcPr>
            <w:tcW w:w="5310" w:type="dxa"/>
          </w:tcPr>
          <w:p w14:paraId="18842955" w14:textId="77777777" w:rsidR="00B07D35" w:rsidRPr="00027D35" w:rsidRDefault="00B07D35" w:rsidP="00E668AE">
            <w:r>
              <w:t>Measures</w:t>
            </w:r>
          </w:p>
        </w:tc>
        <w:tc>
          <w:tcPr>
            <w:tcW w:w="3461" w:type="dxa"/>
          </w:tcPr>
          <w:p w14:paraId="21325EB9" w14:textId="77777777" w:rsidR="00B07D35" w:rsidRDefault="00B07D35" w:rsidP="00E668AE">
            <w:r>
              <w:t>Recommended Data Sources</w:t>
            </w:r>
          </w:p>
        </w:tc>
      </w:tr>
      <w:tr w:rsidR="00B07D35" w14:paraId="44802171" w14:textId="77777777" w:rsidTr="003A16BC">
        <w:trPr>
          <w:trHeight w:val="2942"/>
        </w:trPr>
        <w:tc>
          <w:tcPr>
            <w:tcW w:w="1525" w:type="dxa"/>
            <w:vMerge w:val="restart"/>
          </w:tcPr>
          <w:p w14:paraId="5DA474A8" w14:textId="77777777" w:rsidR="00B07D35" w:rsidRPr="00027D35" w:rsidRDefault="00B07D35" w:rsidP="00E668AE">
            <w:r w:rsidRPr="00027D35">
              <w:t>Discharge disposition</w:t>
            </w:r>
          </w:p>
        </w:tc>
        <w:tc>
          <w:tcPr>
            <w:tcW w:w="5310" w:type="dxa"/>
          </w:tcPr>
          <w:p w14:paraId="182CC41E" w14:textId="2B6DFC46" w:rsidR="00B07D35" w:rsidRPr="00E73FED" w:rsidRDefault="00B07D35" w:rsidP="006B0559">
            <w:r w:rsidRPr="00E73FED">
              <w:t xml:space="preserve">Number and percent of CAH </w:t>
            </w:r>
            <w:r w:rsidR="00436120">
              <w:t>swing bed</w:t>
            </w:r>
            <w:r w:rsidRPr="00E73FED">
              <w:t xml:space="preserve"> patients </w:t>
            </w:r>
            <w:r w:rsidR="00416C4E" w:rsidRPr="00E73FED">
              <w:t xml:space="preserve">who resided in the community </w:t>
            </w:r>
            <w:r w:rsidR="00036FB0" w:rsidRPr="00E73FED">
              <w:t xml:space="preserve">prior to </w:t>
            </w:r>
            <w:r w:rsidR="00081BB0" w:rsidRPr="00E73FED">
              <w:t xml:space="preserve">the </w:t>
            </w:r>
            <w:r w:rsidR="00436120">
              <w:t>swing bed</w:t>
            </w:r>
            <w:r w:rsidR="00081BB0" w:rsidRPr="00E73FED">
              <w:t xml:space="preserve"> stay </w:t>
            </w:r>
            <w:r w:rsidR="00416C4E" w:rsidRPr="00E73FED">
              <w:t>who were</w:t>
            </w:r>
            <w:r w:rsidR="00C2410D" w:rsidRPr="00E73FED">
              <w:t>:</w:t>
            </w:r>
            <w:r w:rsidR="00416C4E" w:rsidRPr="00E73FED">
              <w:t xml:space="preserve"> 1) discharged </w:t>
            </w:r>
            <w:r w:rsidR="00C2410D" w:rsidRPr="00E73FED">
              <w:t xml:space="preserve">back </w:t>
            </w:r>
            <w:r w:rsidR="00416C4E" w:rsidRPr="00E73FED">
              <w:t>to the community</w:t>
            </w:r>
            <w:r w:rsidR="00081BB0" w:rsidRPr="00E73FED">
              <w:t>;</w:t>
            </w:r>
            <w:r w:rsidRPr="00E73FED">
              <w:t xml:space="preserve"> 2) transferred to a nursing home</w:t>
            </w:r>
            <w:r w:rsidR="00081BB0" w:rsidRPr="00E73FED">
              <w:t>;</w:t>
            </w:r>
            <w:r w:rsidRPr="00E73FED">
              <w:t xml:space="preserve"> and 3) transferred to higher level of care.</w:t>
            </w:r>
            <w:r w:rsidR="006B0559" w:rsidRPr="00E73FED">
              <w:br/>
            </w:r>
            <w:r w:rsidR="006B0559" w:rsidRPr="00E73FED">
              <w:br/>
            </w:r>
            <w:r w:rsidR="00416C4E" w:rsidRPr="00E73FED">
              <w:t xml:space="preserve">Number and percent of CAH </w:t>
            </w:r>
            <w:r w:rsidR="00436120">
              <w:t>swing bed</w:t>
            </w:r>
            <w:r w:rsidR="00416C4E" w:rsidRPr="00E73FED">
              <w:t xml:space="preserve"> patients who resided in a nursing home prior to the </w:t>
            </w:r>
            <w:r w:rsidR="00436120">
              <w:t>swing bed</w:t>
            </w:r>
            <w:r w:rsidR="00416C4E" w:rsidRPr="00E73FED">
              <w:t xml:space="preserve"> stay who were</w:t>
            </w:r>
            <w:r w:rsidR="00C2410D" w:rsidRPr="00E73FED">
              <w:t>:</w:t>
            </w:r>
            <w:r w:rsidR="00416C4E" w:rsidRPr="00E73FED">
              <w:t xml:space="preserve"> 1) discharged back to the nursing home; 2) transferred to a nursing home; and 3) transferred to higher level of care.</w:t>
            </w:r>
          </w:p>
        </w:tc>
        <w:tc>
          <w:tcPr>
            <w:tcW w:w="3461" w:type="dxa"/>
          </w:tcPr>
          <w:p w14:paraId="086C798F" w14:textId="396CC50B" w:rsidR="00B07D35" w:rsidRPr="00E73FED" w:rsidRDefault="00B07D35" w:rsidP="00E668AE">
            <w:r w:rsidRPr="00E73FED">
              <w:t xml:space="preserve">CAH </w:t>
            </w:r>
            <w:r w:rsidR="00436120">
              <w:t>swing bed</w:t>
            </w:r>
            <w:r w:rsidRPr="00E73FED">
              <w:t xml:space="preserve"> </w:t>
            </w:r>
            <w:r w:rsidR="00682514" w:rsidRPr="00E73FED">
              <w:t xml:space="preserve">admission and </w:t>
            </w:r>
            <w:r w:rsidRPr="00E73FED">
              <w:t>discharge record</w:t>
            </w:r>
            <w:r w:rsidR="00682514" w:rsidRPr="00E73FED">
              <w:t>s</w:t>
            </w:r>
          </w:p>
        </w:tc>
      </w:tr>
      <w:tr w:rsidR="00B07D35" w:rsidRPr="00027D35" w14:paraId="20683AEF" w14:textId="77777777" w:rsidTr="003A16BC">
        <w:tc>
          <w:tcPr>
            <w:tcW w:w="1525" w:type="dxa"/>
            <w:vMerge/>
          </w:tcPr>
          <w:p w14:paraId="028FB243" w14:textId="77777777" w:rsidR="00B07D35" w:rsidRPr="00027D35" w:rsidRDefault="00B07D35" w:rsidP="00E668AE"/>
        </w:tc>
        <w:tc>
          <w:tcPr>
            <w:tcW w:w="5310" w:type="dxa"/>
          </w:tcPr>
          <w:p w14:paraId="5DB66F62" w14:textId="71A4BBA2" w:rsidR="00B07D35" w:rsidRPr="00E73FED" w:rsidRDefault="00B07D35" w:rsidP="00E668AE">
            <w:r w:rsidRPr="00E73FED">
              <w:t xml:space="preserve">Risk-adjusted rate of discharge to the community for CAH </w:t>
            </w:r>
            <w:r w:rsidR="00436120">
              <w:t>swing bed</w:t>
            </w:r>
            <w:r w:rsidRPr="00E73FED">
              <w:t xml:space="preserve"> patients.</w:t>
            </w:r>
          </w:p>
        </w:tc>
        <w:tc>
          <w:tcPr>
            <w:tcW w:w="3461" w:type="dxa"/>
          </w:tcPr>
          <w:p w14:paraId="3ADBE18A" w14:textId="77777777" w:rsidR="00B07D35" w:rsidRPr="00E73FED" w:rsidRDefault="00B07D35" w:rsidP="00E668AE">
            <w:r w:rsidRPr="00E73FED">
              <w:t>CMS calculation based on Medicare claims data</w:t>
            </w:r>
          </w:p>
        </w:tc>
      </w:tr>
      <w:tr w:rsidR="00B07D35" w14:paraId="04A4118B" w14:textId="77777777" w:rsidTr="003A16BC">
        <w:trPr>
          <w:trHeight w:val="908"/>
        </w:trPr>
        <w:tc>
          <w:tcPr>
            <w:tcW w:w="1525" w:type="dxa"/>
            <w:vMerge w:val="restart"/>
          </w:tcPr>
          <w:p w14:paraId="59A9A775" w14:textId="432C6551" w:rsidR="00B07D35" w:rsidRDefault="00682514" w:rsidP="00E668AE">
            <w:r w:rsidRPr="00E965ED">
              <w:t>3</w:t>
            </w:r>
            <w:r w:rsidR="00E965ED" w:rsidRPr="00E965ED">
              <w:t>0-</w:t>
            </w:r>
            <w:r w:rsidR="001A5654" w:rsidRPr="00E965ED">
              <w:t>day</w:t>
            </w:r>
            <w:r>
              <w:t xml:space="preserve"> follow-up</w:t>
            </w:r>
            <w:r w:rsidR="001A5654">
              <w:t xml:space="preserve"> </w:t>
            </w:r>
            <w:r w:rsidR="00BC59A9">
              <w:t>status</w:t>
            </w:r>
          </w:p>
        </w:tc>
        <w:tc>
          <w:tcPr>
            <w:tcW w:w="5310" w:type="dxa"/>
          </w:tcPr>
          <w:p w14:paraId="5C8A1C07" w14:textId="2F8BB5C7" w:rsidR="00B07D35" w:rsidRDefault="00151EFA" w:rsidP="00E668AE">
            <w:r>
              <w:t xml:space="preserve">Number and percent </w:t>
            </w:r>
            <w:r w:rsidR="00B07D35" w:rsidRPr="00027D35">
              <w:t xml:space="preserve">of discharged CAH </w:t>
            </w:r>
            <w:r w:rsidR="00436120">
              <w:t>swing bed</w:t>
            </w:r>
            <w:r w:rsidR="00B07D35" w:rsidRPr="00027D35">
              <w:t xml:space="preserve"> patients who</w:t>
            </w:r>
            <w:r w:rsidR="00381295">
              <w:t xml:space="preserve"> ha</w:t>
            </w:r>
            <w:r w:rsidR="00682514">
              <w:t>d</w:t>
            </w:r>
            <w:r w:rsidR="007744F4">
              <w:t>:</w:t>
            </w:r>
            <w:r w:rsidR="00B07D35" w:rsidRPr="00027D35">
              <w:t xml:space="preserve"> an unplanned hospital inpatient stay</w:t>
            </w:r>
            <w:r w:rsidR="00381295">
              <w:t xml:space="preserve">, </w:t>
            </w:r>
            <w:r w:rsidR="001A5654">
              <w:t xml:space="preserve">another </w:t>
            </w:r>
            <w:r w:rsidR="00436120">
              <w:t>swing bed</w:t>
            </w:r>
            <w:r w:rsidR="001A5654">
              <w:t xml:space="preserve"> stay, </w:t>
            </w:r>
            <w:r w:rsidR="00381295">
              <w:t>an Emergency Department visit, an observation stay</w:t>
            </w:r>
            <w:r w:rsidR="00BC59A9">
              <w:t>, and/or a nursing home stay</w:t>
            </w:r>
            <w:r w:rsidR="00381295">
              <w:t xml:space="preserve"> </w:t>
            </w:r>
            <w:r w:rsidR="00B07D35" w:rsidRPr="00027D35">
              <w:t>within 30 days</w:t>
            </w:r>
            <w:r w:rsidR="00B07D35">
              <w:t xml:space="preserve"> of discharge</w:t>
            </w:r>
            <w:r w:rsidR="00CB5FFD">
              <w:t xml:space="preserve"> for</w:t>
            </w:r>
            <w:r w:rsidR="001A5654">
              <w:t>:</w:t>
            </w:r>
            <w:r w:rsidR="00CB5FFD">
              <w:t xml:space="preserve"> </w:t>
            </w:r>
            <w:r w:rsidR="001A5654">
              <w:t xml:space="preserve">1) the same or related </w:t>
            </w:r>
            <w:r w:rsidR="00CB5FFD">
              <w:t xml:space="preserve">condition </w:t>
            </w:r>
            <w:r w:rsidR="001A5654">
              <w:t xml:space="preserve">as </w:t>
            </w:r>
            <w:r w:rsidR="00CB5FFD">
              <w:t xml:space="preserve">the </w:t>
            </w:r>
            <w:r w:rsidR="00436120">
              <w:t>swing bed</w:t>
            </w:r>
            <w:r w:rsidR="00CB5FFD">
              <w:t xml:space="preserve"> </w:t>
            </w:r>
            <w:r w:rsidR="001A5654">
              <w:t xml:space="preserve">stay or 2) a new condition different from the </w:t>
            </w:r>
            <w:r w:rsidR="00436120">
              <w:t>swing bed</w:t>
            </w:r>
            <w:r w:rsidR="001A5654">
              <w:t xml:space="preserve"> stay.</w:t>
            </w:r>
          </w:p>
        </w:tc>
        <w:tc>
          <w:tcPr>
            <w:tcW w:w="3461" w:type="dxa"/>
          </w:tcPr>
          <w:p w14:paraId="3962214B" w14:textId="4EA6D9FC" w:rsidR="00B07D35" w:rsidRDefault="001A5654" w:rsidP="00E668AE">
            <w:r>
              <w:t>Follow-up p</w:t>
            </w:r>
            <w:r w:rsidR="007744F4">
              <w:t xml:space="preserve">hone calls to </w:t>
            </w:r>
            <w:r w:rsidR="00436120">
              <w:t>swing bed</w:t>
            </w:r>
            <w:r w:rsidR="007744F4">
              <w:t xml:space="preserve"> patients 30 days post-discharge; </w:t>
            </w:r>
            <w:r w:rsidR="00B07D35">
              <w:t xml:space="preserve">CAH </w:t>
            </w:r>
            <w:r w:rsidR="00B07D35" w:rsidRPr="00DE58C7">
              <w:t xml:space="preserve">hospital </w:t>
            </w:r>
            <w:r w:rsidR="008E0438">
              <w:t xml:space="preserve">inpatient and outpatient </w:t>
            </w:r>
            <w:r w:rsidR="00B07D35" w:rsidRPr="00DE58C7">
              <w:t xml:space="preserve">admission records </w:t>
            </w:r>
          </w:p>
        </w:tc>
      </w:tr>
      <w:tr w:rsidR="00B07D35" w:rsidRPr="00027D35" w14:paraId="2AC0F41D" w14:textId="77777777" w:rsidTr="003A16BC">
        <w:trPr>
          <w:trHeight w:val="575"/>
        </w:trPr>
        <w:tc>
          <w:tcPr>
            <w:tcW w:w="1525" w:type="dxa"/>
            <w:vMerge/>
          </w:tcPr>
          <w:p w14:paraId="2541A610" w14:textId="77777777" w:rsidR="00B07D35" w:rsidRDefault="00B07D35" w:rsidP="00E668AE"/>
        </w:tc>
        <w:tc>
          <w:tcPr>
            <w:tcW w:w="5310" w:type="dxa"/>
          </w:tcPr>
          <w:p w14:paraId="628C7FDD" w14:textId="59B3C716" w:rsidR="00B07D35" w:rsidRDefault="00B07D35" w:rsidP="00E668AE">
            <w:r w:rsidRPr="00A036AF">
              <w:t xml:space="preserve">Risk-adjusted </w:t>
            </w:r>
            <w:r w:rsidR="00E965ED" w:rsidRPr="00E965ED">
              <w:t>30-</w:t>
            </w:r>
            <w:r w:rsidRPr="00E965ED">
              <w:t>day</w:t>
            </w:r>
            <w:r w:rsidRPr="00A036AF">
              <w:t xml:space="preserve"> </w:t>
            </w:r>
            <w:r>
              <w:t xml:space="preserve">unplanned </w:t>
            </w:r>
            <w:r w:rsidRPr="00A036AF">
              <w:t xml:space="preserve">readmission rate for CAH </w:t>
            </w:r>
            <w:r w:rsidR="00436120">
              <w:t>swing bed</w:t>
            </w:r>
            <w:r w:rsidRPr="00A036AF">
              <w:t xml:space="preserve"> patients</w:t>
            </w:r>
            <w:r>
              <w:t>.</w:t>
            </w:r>
          </w:p>
        </w:tc>
        <w:tc>
          <w:tcPr>
            <w:tcW w:w="3461" w:type="dxa"/>
          </w:tcPr>
          <w:p w14:paraId="43122923" w14:textId="77777777" w:rsidR="00B07D35" w:rsidRPr="00027D35" w:rsidRDefault="00B07D35" w:rsidP="00E668AE">
            <w:r>
              <w:t>CMS calculation based on Medicare claims data</w:t>
            </w:r>
          </w:p>
        </w:tc>
      </w:tr>
    </w:tbl>
    <w:p w14:paraId="4761D28D" w14:textId="5F25E2A7" w:rsidR="000D6268" w:rsidRDefault="000D6268" w:rsidP="003916D5">
      <w:pPr>
        <w:spacing w:line="480" w:lineRule="auto"/>
        <w:rPr>
          <w:rStyle w:val="Hyperlink"/>
        </w:rPr>
      </w:pPr>
    </w:p>
    <w:p w14:paraId="4B7501B3" w14:textId="77777777" w:rsidR="000D6268" w:rsidRDefault="000D6268">
      <w:pPr>
        <w:rPr>
          <w:rStyle w:val="Hyperlink"/>
        </w:rPr>
      </w:pPr>
      <w:r>
        <w:rPr>
          <w:rStyle w:val="Hyperlink"/>
        </w:rPr>
        <w:br w:type="page"/>
      </w:r>
    </w:p>
    <w:p w14:paraId="7CCCFD7F" w14:textId="77777777" w:rsidR="00B07D35" w:rsidRDefault="00B07D35" w:rsidP="003916D5">
      <w:pPr>
        <w:spacing w:line="480" w:lineRule="auto"/>
        <w:rPr>
          <w:rStyle w:val="Hyperlink"/>
        </w:rPr>
      </w:pPr>
    </w:p>
    <w:tbl>
      <w:tblPr>
        <w:tblStyle w:val="TableGrid"/>
        <w:tblW w:w="10296" w:type="dxa"/>
        <w:tblLook w:val="04A0" w:firstRow="1" w:lastRow="0" w:firstColumn="1" w:lastColumn="0" w:noHBand="0" w:noVBand="1"/>
      </w:tblPr>
      <w:tblGrid>
        <w:gridCol w:w="2065"/>
        <w:gridCol w:w="4770"/>
        <w:gridCol w:w="3461"/>
      </w:tblGrid>
      <w:tr w:rsidR="00B07D35" w:rsidRPr="00286003" w14:paraId="7683A5D2" w14:textId="77777777" w:rsidTr="0005624E">
        <w:tc>
          <w:tcPr>
            <w:tcW w:w="10296" w:type="dxa"/>
            <w:gridSpan w:val="3"/>
          </w:tcPr>
          <w:p w14:paraId="0ED75925" w14:textId="421055F8" w:rsidR="00B07D35" w:rsidRPr="00286003" w:rsidRDefault="00B07D35" w:rsidP="00A6597A">
            <w:pPr>
              <w:rPr>
                <w:b/>
              </w:rPr>
            </w:pPr>
            <w:r>
              <w:rPr>
                <w:b/>
              </w:rPr>
              <w:t>Table 2</w:t>
            </w:r>
            <w:r w:rsidRPr="00286003">
              <w:rPr>
                <w:b/>
              </w:rPr>
              <w:t xml:space="preserve">. Recommended CAH </w:t>
            </w:r>
            <w:r w:rsidR="00436120">
              <w:rPr>
                <w:b/>
              </w:rPr>
              <w:t xml:space="preserve">Swing </w:t>
            </w:r>
            <w:r w:rsidR="00A6597A">
              <w:rPr>
                <w:b/>
              </w:rPr>
              <w:t>B</w:t>
            </w:r>
            <w:r w:rsidR="00436120">
              <w:rPr>
                <w:b/>
              </w:rPr>
              <w:t>ed</w:t>
            </w:r>
            <w:r w:rsidRPr="00286003">
              <w:rPr>
                <w:b/>
              </w:rPr>
              <w:t xml:space="preserve"> </w:t>
            </w:r>
            <w:r>
              <w:rPr>
                <w:b/>
              </w:rPr>
              <w:t xml:space="preserve">Functional Status </w:t>
            </w:r>
            <w:r w:rsidRPr="00286003">
              <w:rPr>
                <w:b/>
              </w:rPr>
              <w:t>Measures</w:t>
            </w:r>
          </w:p>
        </w:tc>
      </w:tr>
      <w:tr w:rsidR="00B07D35" w14:paraId="6B9319A2" w14:textId="77777777" w:rsidTr="003A16BC">
        <w:tc>
          <w:tcPr>
            <w:tcW w:w="2065" w:type="dxa"/>
          </w:tcPr>
          <w:p w14:paraId="337D7123" w14:textId="77777777" w:rsidR="00B07D35" w:rsidRPr="00027D35" w:rsidRDefault="00B07D35" w:rsidP="00E668AE">
            <w:r>
              <w:t>Functional Status</w:t>
            </w:r>
          </w:p>
        </w:tc>
        <w:tc>
          <w:tcPr>
            <w:tcW w:w="4770" w:type="dxa"/>
          </w:tcPr>
          <w:p w14:paraId="6E6A0B54" w14:textId="77777777" w:rsidR="00B07D35" w:rsidRPr="00027D35" w:rsidRDefault="00B07D35" w:rsidP="00E668AE">
            <w:r>
              <w:t>Measures</w:t>
            </w:r>
          </w:p>
        </w:tc>
        <w:tc>
          <w:tcPr>
            <w:tcW w:w="3461" w:type="dxa"/>
          </w:tcPr>
          <w:p w14:paraId="75417785" w14:textId="77777777" w:rsidR="00B07D35" w:rsidRDefault="00B07D35" w:rsidP="00E668AE">
            <w:r>
              <w:t>Recommended Data Sources</w:t>
            </w:r>
          </w:p>
        </w:tc>
      </w:tr>
      <w:tr w:rsidR="00B07D35" w14:paraId="08AE1726" w14:textId="77777777" w:rsidTr="003A16BC">
        <w:tc>
          <w:tcPr>
            <w:tcW w:w="2065" w:type="dxa"/>
          </w:tcPr>
          <w:p w14:paraId="054B407C" w14:textId="5D69DB27" w:rsidR="00B07D35" w:rsidRDefault="00B07D35" w:rsidP="00E668AE">
            <w:r>
              <w:t xml:space="preserve">Improvement in </w:t>
            </w:r>
            <w:r w:rsidR="00436120">
              <w:t>swing bed</w:t>
            </w:r>
            <w:r>
              <w:t xml:space="preserve"> patient self-care</w:t>
            </w:r>
          </w:p>
        </w:tc>
        <w:tc>
          <w:tcPr>
            <w:tcW w:w="4770" w:type="dxa"/>
          </w:tcPr>
          <w:p w14:paraId="32F5866D" w14:textId="1D010507" w:rsidR="00B07D35" w:rsidRDefault="00B07D35" w:rsidP="00E668AE">
            <w:r>
              <w:t>R</w:t>
            </w:r>
            <w:r w:rsidRPr="00D47108">
              <w:t xml:space="preserve">isk-adjusted </w:t>
            </w:r>
            <w:r>
              <w:t>mean c</w:t>
            </w:r>
            <w:r w:rsidRPr="00A31003">
              <w:t xml:space="preserve">hange in self-care score between admission and discharge for CAH </w:t>
            </w:r>
            <w:r w:rsidR="00436120">
              <w:t>swing bed</w:t>
            </w:r>
            <w:r w:rsidRPr="00A31003">
              <w:t xml:space="preserve"> patients</w:t>
            </w:r>
          </w:p>
        </w:tc>
        <w:tc>
          <w:tcPr>
            <w:tcW w:w="3461" w:type="dxa"/>
          </w:tcPr>
          <w:p w14:paraId="1032D1FA" w14:textId="6C148A6C" w:rsidR="00B07D35" w:rsidRDefault="00B07D35" w:rsidP="00E668AE">
            <w:r w:rsidRPr="008F100A">
              <w:t>MDS Section GG</w:t>
            </w:r>
            <w:r>
              <w:t>, with risk-adjustment data f</w:t>
            </w:r>
            <w:r w:rsidR="006B0559">
              <w:t>rom selected other MDS sections</w:t>
            </w:r>
          </w:p>
        </w:tc>
      </w:tr>
      <w:tr w:rsidR="00B07D35" w14:paraId="64133901" w14:textId="77777777" w:rsidTr="003A16BC">
        <w:tc>
          <w:tcPr>
            <w:tcW w:w="2065" w:type="dxa"/>
          </w:tcPr>
          <w:p w14:paraId="19BAD08B" w14:textId="3D5D43B8" w:rsidR="00B07D35" w:rsidRDefault="00B07D35" w:rsidP="00E668AE">
            <w:r>
              <w:t xml:space="preserve">Improvement in </w:t>
            </w:r>
            <w:r w:rsidR="00436120">
              <w:t>swing bed</w:t>
            </w:r>
            <w:r>
              <w:t xml:space="preserve"> patient mobility</w:t>
            </w:r>
          </w:p>
        </w:tc>
        <w:tc>
          <w:tcPr>
            <w:tcW w:w="4770" w:type="dxa"/>
          </w:tcPr>
          <w:p w14:paraId="2EDF1FC4" w14:textId="7D21D2AB" w:rsidR="00B07D35" w:rsidRPr="00A31003" w:rsidRDefault="00B07D35" w:rsidP="00E668AE">
            <w:pPr>
              <w:rPr>
                <w:i/>
              </w:rPr>
            </w:pPr>
            <w:r>
              <w:t>Risk-adjusted mean c</w:t>
            </w:r>
            <w:r w:rsidRPr="00027D35">
              <w:t xml:space="preserve">hange in mobility score </w:t>
            </w:r>
            <w:r>
              <w:t xml:space="preserve">between admission and discharge </w:t>
            </w:r>
            <w:r w:rsidRPr="00027D35">
              <w:t xml:space="preserve">for </w:t>
            </w:r>
            <w:r>
              <w:t xml:space="preserve">CAH </w:t>
            </w:r>
            <w:r w:rsidR="00436120">
              <w:t>swing bed</w:t>
            </w:r>
            <w:r>
              <w:t xml:space="preserve"> </w:t>
            </w:r>
            <w:r w:rsidRPr="00027D35">
              <w:t>patients</w:t>
            </w:r>
          </w:p>
        </w:tc>
        <w:tc>
          <w:tcPr>
            <w:tcW w:w="3461" w:type="dxa"/>
          </w:tcPr>
          <w:p w14:paraId="40D26FAE" w14:textId="74A4A5A6" w:rsidR="00B07D35" w:rsidRDefault="00B07D35" w:rsidP="00E668AE">
            <w:r w:rsidRPr="008F100A">
              <w:t>MDS Section GG</w:t>
            </w:r>
            <w:r>
              <w:t>, with risk-adjustment data f</w:t>
            </w:r>
            <w:r w:rsidR="006B0559">
              <w:t>rom selected other MDS sections</w:t>
            </w:r>
          </w:p>
        </w:tc>
      </w:tr>
    </w:tbl>
    <w:p w14:paraId="357CB23B" w14:textId="66C9D682" w:rsidR="000D6268" w:rsidRDefault="000D6268" w:rsidP="003916D5">
      <w:pPr>
        <w:spacing w:after="0" w:line="480" w:lineRule="auto"/>
        <w:rPr>
          <w:b/>
          <w:u w:val="single"/>
        </w:rPr>
      </w:pPr>
    </w:p>
    <w:p w14:paraId="68372FFC" w14:textId="77777777" w:rsidR="000D6268" w:rsidRDefault="000D6268">
      <w:pPr>
        <w:rPr>
          <w:b/>
          <w:u w:val="single"/>
        </w:rPr>
      </w:pPr>
      <w:r>
        <w:rPr>
          <w:b/>
          <w:u w:val="single"/>
        </w:rPr>
        <w:br w:type="page"/>
      </w:r>
    </w:p>
    <w:p w14:paraId="23614CBE" w14:textId="77777777" w:rsidR="00092D69" w:rsidRDefault="00092D69" w:rsidP="003916D5">
      <w:pPr>
        <w:spacing w:after="0" w:line="480" w:lineRule="auto"/>
        <w:rPr>
          <w:b/>
          <w:u w:val="single"/>
        </w:rPr>
      </w:pPr>
    </w:p>
    <w:tbl>
      <w:tblPr>
        <w:tblStyle w:val="TableGrid"/>
        <w:tblW w:w="10345" w:type="dxa"/>
        <w:tblLook w:val="04A0" w:firstRow="1" w:lastRow="0" w:firstColumn="1" w:lastColumn="0" w:noHBand="0" w:noVBand="1"/>
      </w:tblPr>
      <w:tblGrid>
        <w:gridCol w:w="5485"/>
        <w:gridCol w:w="4860"/>
      </w:tblGrid>
      <w:tr w:rsidR="004D1C93" w:rsidRPr="00AB69EC" w14:paraId="2383E5BD" w14:textId="77777777" w:rsidTr="004D1C93">
        <w:trPr>
          <w:tblHeader/>
        </w:trPr>
        <w:tc>
          <w:tcPr>
            <w:tcW w:w="10345" w:type="dxa"/>
            <w:gridSpan w:val="2"/>
          </w:tcPr>
          <w:p w14:paraId="4A546A6E" w14:textId="260F598D" w:rsidR="004D1C93" w:rsidRPr="00AB69EC" w:rsidRDefault="004D1C93" w:rsidP="00B0051B">
            <w:pPr>
              <w:rPr>
                <w:b/>
              </w:rPr>
            </w:pPr>
            <w:r>
              <w:rPr>
                <w:b/>
              </w:rPr>
              <w:t xml:space="preserve">Table 3. CAH </w:t>
            </w:r>
            <w:r w:rsidR="00A6597A">
              <w:rPr>
                <w:b/>
              </w:rPr>
              <w:t>Swing B</w:t>
            </w:r>
            <w:r w:rsidR="00436120">
              <w:rPr>
                <w:b/>
              </w:rPr>
              <w:t>ed</w:t>
            </w:r>
            <w:r w:rsidRPr="00AB69EC">
              <w:rPr>
                <w:b/>
              </w:rPr>
              <w:t xml:space="preserve"> Patient Characteristics</w:t>
            </w:r>
          </w:p>
        </w:tc>
      </w:tr>
      <w:tr w:rsidR="004D1C93" w14:paraId="13C772B3" w14:textId="77777777" w:rsidTr="004D1C93">
        <w:tc>
          <w:tcPr>
            <w:tcW w:w="5485" w:type="dxa"/>
          </w:tcPr>
          <w:p w14:paraId="16114D18" w14:textId="77777777" w:rsidR="004D1C93" w:rsidRDefault="004D1C93" w:rsidP="00B0051B">
            <w:r>
              <w:t>Age</w:t>
            </w:r>
          </w:p>
        </w:tc>
        <w:tc>
          <w:tcPr>
            <w:tcW w:w="4860" w:type="dxa"/>
          </w:tcPr>
          <w:p w14:paraId="67C1E051" w14:textId="6C932D8A" w:rsidR="004D1C93" w:rsidRDefault="004D1C93" w:rsidP="006B0559">
            <w:r w:rsidRPr="00E73FED">
              <w:t>88.2% over age 65</w:t>
            </w:r>
            <w:r w:rsidR="006B0559">
              <w:br/>
            </w:r>
            <w:r>
              <w:t>64.4% over age 75</w:t>
            </w:r>
          </w:p>
        </w:tc>
      </w:tr>
      <w:tr w:rsidR="004D1C93" w14:paraId="0ECE6AC0" w14:textId="77777777" w:rsidTr="004D1C93">
        <w:tc>
          <w:tcPr>
            <w:tcW w:w="5485" w:type="dxa"/>
          </w:tcPr>
          <w:p w14:paraId="6587E663" w14:textId="04E844AF" w:rsidR="004D1C93" w:rsidRDefault="004D1C93" w:rsidP="00E965ED">
            <w:r>
              <w:t>Residence prior to hospitalizatio</w:t>
            </w:r>
            <w:r w:rsidR="006B0559">
              <w:t xml:space="preserve">n that </w:t>
            </w:r>
            <w:r w:rsidR="00E965ED">
              <w:t>preceded</w:t>
            </w:r>
            <w:r w:rsidR="006B0559">
              <w:t xml:space="preserve"> </w:t>
            </w:r>
            <w:r w:rsidR="00436120">
              <w:t>swing bed</w:t>
            </w:r>
            <w:r w:rsidR="006B0559">
              <w:t xml:space="preserve"> stay</w:t>
            </w:r>
          </w:p>
        </w:tc>
        <w:tc>
          <w:tcPr>
            <w:tcW w:w="4860" w:type="dxa"/>
          </w:tcPr>
          <w:p w14:paraId="383CC7EC" w14:textId="1AE10ACC" w:rsidR="004D1C93" w:rsidRDefault="00A6597A" w:rsidP="006B0559">
            <w:r>
              <w:t>94.1</w:t>
            </w:r>
            <w:r w:rsidR="004D1C93">
              <w:t>% Community</w:t>
            </w:r>
            <w:r w:rsidR="006B0559">
              <w:br/>
            </w:r>
            <w:r w:rsidR="004D1C93">
              <w:t>3.6% Nursing Home</w:t>
            </w:r>
          </w:p>
        </w:tc>
      </w:tr>
      <w:tr w:rsidR="004D1C93" w14:paraId="5E51AED8" w14:textId="77777777" w:rsidTr="004D1C93">
        <w:tc>
          <w:tcPr>
            <w:tcW w:w="5485" w:type="dxa"/>
          </w:tcPr>
          <w:p w14:paraId="1FE1FC34" w14:textId="4FF80123" w:rsidR="004D1C93" w:rsidRDefault="004D1C93" w:rsidP="00B0051B">
            <w:r>
              <w:t xml:space="preserve">Expected primary payer source for </w:t>
            </w:r>
            <w:r w:rsidR="00436120">
              <w:t>swing bed</w:t>
            </w:r>
            <w:r>
              <w:t xml:space="preserve"> stay</w:t>
            </w:r>
          </w:p>
        </w:tc>
        <w:tc>
          <w:tcPr>
            <w:tcW w:w="4860" w:type="dxa"/>
          </w:tcPr>
          <w:p w14:paraId="758A865E" w14:textId="4E3F20C1" w:rsidR="004D1C93" w:rsidRDefault="004D1C93" w:rsidP="006B0559">
            <w:r>
              <w:t>90.2% Medicare or Medicare Advantage</w:t>
            </w:r>
            <w:r w:rsidR="006B0559">
              <w:br/>
            </w:r>
            <w:r>
              <w:t>5.4% Commercial Insurance</w:t>
            </w:r>
            <w:r w:rsidR="006B0559">
              <w:br/>
            </w:r>
            <w:r>
              <w:t>2.0% Medicaid</w:t>
            </w:r>
          </w:p>
        </w:tc>
      </w:tr>
      <w:tr w:rsidR="004D1C93" w14:paraId="2C78B461" w14:textId="77777777" w:rsidTr="004D1C93">
        <w:tc>
          <w:tcPr>
            <w:tcW w:w="5485" w:type="dxa"/>
          </w:tcPr>
          <w:p w14:paraId="7EAD877B" w14:textId="1259CA8F" w:rsidR="004D1C93" w:rsidRPr="00E965ED" w:rsidRDefault="004D1C93" w:rsidP="00A6597A">
            <w:bookmarkStart w:id="16" w:name="_Hlk25003505"/>
            <w:r w:rsidRPr="00E965ED">
              <w:t>Primary medical condition</w:t>
            </w:r>
            <w:r w:rsidR="00E965ED" w:rsidRPr="00E965ED">
              <w:t xml:space="preserve"> (</w:t>
            </w:r>
            <w:r w:rsidR="00A6597A">
              <w:t>Most frequent</w:t>
            </w:r>
            <w:r w:rsidR="00E965ED" w:rsidRPr="00E965ED">
              <w:t xml:space="preserve"> categories)</w:t>
            </w:r>
          </w:p>
        </w:tc>
        <w:tc>
          <w:tcPr>
            <w:tcW w:w="4860" w:type="dxa"/>
          </w:tcPr>
          <w:p w14:paraId="167548DB" w14:textId="2D2FEFAF" w:rsidR="004D1C93" w:rsidRPr="00E965ED" w:rsidRDefault="004D1C93" w:rsidP="00A6597A">
            <w:bookmarkStart w:id="17" w:name="_Hlk25003017"/>
            <w:r w:rsidRPr="00E965ED">
              <w:t>27.9% Other Medical Conditions</w:t>
            </w:r>
            <w:r w:rsidR="006B0559" w:rsidRPr="00E965ED">
              <w:br/>
            </w:r>
            <w:bookmarkEnd w:id="17"/>
            <w:r w:rsidRPr="00E965ED">
              <w:t>20.0% Medically Complex Conditions</w:t>
            </w:r>
            <w:r w:rsidR="006B0559" w:rsidRPr="00E965ED">
              <w:br/>
            </w:r>
            <w:r w:rsidR="00E965ED" w:rsidRPr="00E965ED">
              <w:t>17.8% D</w:t>
            </w:r>
            <w:r w:rsidR="00A6597A">
              <w:t>e</w:t>
            </w:r>
            <w:r w:rsidR="00E965ED" w:rsidRPr="00E965ED">
              <w:t>bility</w:t>
            </w:r>
            <w:r w:rsidR="00383607">
              <w:t>,</w:t>
            </w:r>
            <w:r w:rsidR="00A6597A">
              <w:t xml:space="preserve"> </w:t>
            </w:r>
            <w:r w:rsidRPr="00E965ED">
              <w:t>Cardiorespiratory Conditions</w:t>
            </w:r>
            <w:r w:rsidR="006B0559" w:rsidRPr="00E965ED">
              <w:br/>
            </w:r>
            <w:r w:rsidRPr="00E965ED">
              <w:t>12.5% Fractures and Other Multiple Traumas</w:t>
            </w:r>
            <w:r w:rsidR="006B0559" w:rsidRPr="00E965ED">
              <w:br/>
            </w:r>
            <w:r w:rsidRPr="00E965ED">
              <w:t>9.9% Hip and Knee Replacement</w:t>
            </w:r>
          </w:p>
        </w:tc>
      </w:tr>
      <w:bookmarkEnd w:id="16"/>
      <w:tr w:rsidR="004D1C93" w14:paraId="495958A6" w14:textId="77777777" w:rsidTr="004D1C93">
        <w:tc>
          <w:tcPr>
            <w:tcW w:w="5485" w:type="dxa"/>
          </w:tcPr>
          <w:p w14:paraId="2DACB745" w14:textId="374CF2F6" w:rsidR="004D1C93" w:rsidRDefault="004D1C93" w:rsidP="00B0051B">
            <w:r>
              <w:t>Had major</w:t>
            </w:r>
            <w:r w:rsidR="000D6268">
              <w:t xml:space="preserve"> </w:t>
            </w:r>
            <w:r>
              <w:t>s</w:t>
            </w:r>
            <w:r w:rsidR="000D6268">
              <w:t>urgery</w:t>
            </w:r>
            <w:r>
              <w:t xml:space="preserve"> during 100 days prior to admission</w:t>
            </w:r>
          </w:p>
        </w:tc>
        <w:tc>
          <w:tcPr>
            <w:tcW w:w="4860" w:type="dxa"/>
          </w:tcPr>
          <w:p w14:paraId="55FF9739" w14:textId="77777777" w:rsidR="004D1C93" w:rsidRDefault="004D1C93" w:rsidP="00B0051B">
            <w:r>
              <w:t>34.4% Yes</w:t>
            </w:r>
          </w:p>
        </w:tc>
      </w:tr>
      <w:tr w:rsidR="004D1C93" w14:paraId="6ACF12D9" w14:textId="77777777" w:rsidTr="004D1C93">
        <w:tc>
          <w:tcPr>
            <w:tcW w:w="5485" w:type="dxa"/>
          </w:tcPr>
          <w:p w14:paraId="03AAA436" w14:textId="77777777" w:rsidR="004D1C93" w:rsidRDefault="004D1C93" w:rsidP="00B0051B">
            <w:r>
              <w:t>Prior functioning independence</w:t>
            </w:r>
          </w:p>
          <w:p w14:paraId="446A5F2B" w14:textId="77777777" w:rsidR="004D1C93" w:rsidRDefault="004D1C93" w:rsidP="00B0051B">
            <w:pPr>
              <w:pStyle w:val="ListParagraph"/>
              <w:numPr>
                <w:ilvl w:val="0"/>
                <w:numId w:val="17"/>
              </w:numPr>
            </w:pPr>
            <w:r>
              <w:t>Self-care</w:t>
            </w:r>
          </w:p>
          <w:p w14:paraId="3FD1CD43" w14:textId="77777777" w:rsidR="004D1C93" w:rsidRDefault="004D1C93" w:rsidP="00B0051B">
            <w:pPr>
              <w:pStyle w:val="ListParagraph"/>
              <w:numPr>
                <w:ilvl w:val="0"/>
                <w:numId w:val="17"/>
              </w:numPr>
            </w:pPr>
            <w:r>
              <w:t>Indoor mobility</w:t>
            </w:r>
          </w:p>
          <w:p w14:paraId="6EBC589B" w14:textId="77777777" w:rsidR="004D1C93" w:rsidRDefault="004D1C93" w:rsidP="00B0051B">
            <w:pPr>
              <w:pStyle w:val="ListParagraph"/>
              <w:numPr>
                <w:ilvl w:val="0"/>
                <w:numId w:val="17"/>
              </w:numPr>
            </w:pPr>
            <w:r>
              <w:t>Stairs</w:t>
            </w:r>
          </w:p>
          <w:p w14:paraId="4AA02745" w14:textId="77777777" w:rsidR="004D1C93" w:rsidRDefault="004D1C93" w:rsidP="00B0051B">
            <w:pPr>
              <w:pStyle w:val="ListParagraph"/>
              <w:numPr>
                <w:ilvl w:val="0"/>
                <w:numId w:val="17"/>
              </w:numPr>
            </w:pPr>
            <w:r>
              <w:t>Functional cognition</w:t>
            </w:r>
          </w:p>
        </w:tc>
        <w:tc>
          <w:tcPr>
            <w:tcW w:w="4860" w:type="dxa"/>
          </w:tcPr>
          <w:p w14:paraId="7D0F70BB" w14:textId="77777777" w:rsidR="004D1C93" w:rsidRDefault="004D1C93" w:rsidP="00B0051B"/>
          <w:p w14:paraId="5464C100" w14:textId="77777777" w:rsidR="004D1C93" w:rsidRDefault="004D1C93" w:rsidP="00B0051B">
            <w:r>
              <w:t>62%</w:t>
            </w:r>
          </w:p>
          <w:p w14:paraId="384CFBA3" w14:textId="77777777" w:rsidR="004D1C93" w:rsidRDefault="004D1C93" w:rsidP="00B0051B">
            <w:r>
              <w:t>70%</w:t>
            </w:r>
          </w:p>
          <w:p w14:paraId="7C5E5F7F" w14:textId="77777777" w:rsidR="004D1C93" w:rsidRDefault="004D1C93" w:rsidP="00B0051B">
            <w:r>
              <w:t>48.8%</w:t>
            </w:r>
          </w:p>
          <w:p w14:paraId="4B828FAF" w14:textId="76C82D7F" w:rsidR="004D1C93" w:rsidRDefault="00115870" w:rsidP="00B0051B">
            <w:r>
              <w:t>62</w:t>
            </w:r>
            <w:r w:rsidR="004D1C93">
              <w:t>%</w:t>
            </w:r>
          </w:p>
        </w:tc>
      </w:tr>
      <w:tr w:rsidR="004D1C93" w14:paraId="24B3DEA6" w14:textId="77777777" w:rsidTr="004D1C93">
        <w:tc>
          <w:tcPr>
            <w:tcW w:w="5485" w:type="dxa"/>
          </w:tcPr>
          <w:p w14:paraId="25130CB7" w14:textId="77777777" w:rsidR="004D1C93" w:rsidRDefault="004D1C93" w:rsidP="00B0051B">
            <w:r>
              <w:t>Prior device use</w:t>
            </w:r>
          </w:p>
          <w:p w14:paraId="66DB81F3" w14:textId="77777777" w:rsidR="004D1C93" w:rsidRDefault="004D1C93" w:rsidP="00B0051B">
            <w:pPr>
              <w:pStyle w:val="ListParagraph"/>
              <w:numPr>
                <w:ilvl w:val="0"/>
                <w:numId w:val="18"/>
              </w:numPr>
            </w:pPr>
            <w:r>
              <w:t>Manual wheelchair</w:t>
            </w:r>
          </w:p>
          <w:p w14:paraId="0E152D55" w14:textId="77777777" w:rsidR="004D1C93" w:rsidRDefault="004D1C93" w:rsidP="00B0051B">
            <w:pPr>
              <w:pStyle w:val="ListParagraph"/>
              <w:numPr>
                <w:ilvl w:val="0"/>
                <w:numId w:val="18"/>
              </w:numPr>
            </w:pPr>
            <w:r>
              <w:t>Motorized vehicle or scooter</w:t>
            </w:r>
          </w:p>
          <w:p w14:paraId="5D78D87D" w14:textId="77777777" w:rsidR="004D1C93" w:rsidRDefault="004D1C93" w:rsidP="00B0051B">
            <w:pPr>
              <w:pStyle w:val="ListParagraph"/>
              <w:numPr>
                <w:ilvl w:val="0"/>
                <w:numId w:val="18"/>
              </w:numPr>
            </w:pPr>
            <w:r>
              <w:t>Walker</w:t>
            </w:r>
          </w:p>
          <w:p w14:paraId="00161F9C" w14:textId="77777777" w:rsidR="004D1C93" w:rsidRDefault="004D1C93" w:rsidP="00B0051B">
            <w:pPr>
              <w:pStyle w:val="ListParagraph"/>
              <w:numPr>
                <w:ilvl w:val="0"/>
                <w:numId w:val="18"/>
              </w:numPr>
            </w:pPr>
            <w:r>
              <w:t>None of the above</w:t>
            </w:r>
          </w:p>
        </w:tc>
        <w:tc>
          <w:tcPr>
            <w:tcW w:w="4860" w:type="dxa"/>
          </w:tcPr>
          <w:p w14:paraId="6BC7623C" w14:textId="77777777" w:rsidR="004D1C93" w:rsidRDefault="004D1C93" w:rsidP="00B0051B"/>
          <w:p w14:paraId="5B108B56" w14:textId="77777777" w:rsidR="004D1C93" w:rsidRDefault="004D1C93" w:rsidP="00B0051B">
            <w:r>
              <w:t>14.6%</w:t>
            </w:r>
          </w:p>
          <w:p w14:paraId="24BE4D51" w14:textId="77777777" w:rsidR="004D1C93" w:rsidRDefault="004D1C93" w:rsidP="00B0051B">
            <w:r>
              <w:t>2.8%</w:t>
            </w:r>
          </w:p>
          <w:p w14:paraId="33A8E58F" w14:textId="77777777" w:rsidR="004D1C93" w:rsidRDefault="004D1C93" w:rsidP="00B0051B">
            <w:r>
              <w:t>60.5%</w:t>
            </w:r>
          </w:p>
          <w:p w14:paraId="717B5D36" w14:textId="77777777" w:rsidR="004D1C93" w:rsidRDefault="004D1C93" w:rsidP="00B0051B">
            <w:r>
              <w:t>3.6%</w:t>
            </w:r>
          </w:p>
        </w:tc>
      </w:tr>
    </w:tbl>
    <w:p w14:paraId="23714DDD" w14:textId="1CF55742" w:rsidR="000D6268" w:rsidRDefault="000D6268" w:rsidP="004D1C93">
      <w:pPr>
        <w:spacing w:after="0" w:line="480" w:lineRule="auto"/>
      </w:pPr>
    </w:p>
    <w:p w14:paraId="0B214137" w14:textId="77777777" w:rsidR="000D6268" w:rsidRDefault="000D6268">
      <w:r>
        <w:br w:type="page"/>
      </w:r>
    </w:p>
    <w:p w14:paraId="2810861A"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AB69EC" w14:paraId="37526D9B" w14:textId="77777777" w:rsidTr="00B0051B">
        <w:tc>
          <w:tcPr>
            <w:tcW w:w="10070" w:type="dxa"/>
            <w:gridSpan w:val="2"/>
          </w:tcPr>
          <w:p w14:paraId="4CC4DCAB" w14:textId="32062E4F" w:rsidR="004D1C93" w:rsidRPr="00AB69EC" w:rsidRDefault="004D1C93" w:rsidP="00B0051B">
            <w:pPr>
              <w:rPr>
                <w:b/>
              </w:rPr>
            </w:pPr>
            <w:r w:rsidRPr="00AB69EC">
              <w:rPr>
                <w:b/>
              </w:rPr>
              <w:t xml:space="preserve">Table 4. CAH </w:t>
            </w:r>
            <w:r w:rsidR="00A6597A">
              <w:rPr>
                <w:b/>
              </w:rPr>
              <w:t>Swing B</w:t>
            </w:r>
            <w:r w:rsidR="00436120">
              <w:rPr>
                <w:b/>
              </w:rPr>
              <w:t>ed</w:t>
            </w:r>
            <w:r w:rsidRPr="00AB69EC">
              <w:rPr>
                <w:b/>
              </w:rPr>
              <w:t xml:space="preserve"> Patient Risk Adjustment Characteristics</w:t>
            </w:r>
          </w:p>
        </w:tc>
      </w:tr>
      <w:tr w:rsidR="004D1C93" w14:paraId="2C9B5E2A" w14:textId="77777777" w:rsidTr="00B0051B">
        <w:tc>
          <w:tcPr>
            <w:tcW w:w="5035" w:type="dxa"/>
          </w:tcPr>
          <w:p w14:paraId="704392D8" w14:textId="77777777" w:rsidR="004D1C93" w:rsidRDefault="004D1C93" w:rsidP="00B0051B">
            <w:r>
              <w:t>Had a fall in 6 months prior to admission</w:t>
            </w:r>
          </w:p>
        </w:tc>
        <w:tc>
          <w:tcPr>
            <w:tcW w:w="5035" w:type="dxa"/>
          </w:tcPr>
          <w:p w14:paraId="6B6569DE" w14:textId="77777777" w:rsidR="004D1C93" w:rsidRDefault="004D1C93" w:rsidP="00B0051B">
            <w:r>
              <w:t>43.9%</w:t>
            </w:r>
          </w:p>
        </w:tc>
      </w:tr>
      <w:tr w:rsidR="004D1C93" w14:paraId="025C271F" w14:textId="77777777" w:rsidTr="00B0051B">
        <w:tc>
          <w:tcPr>
            <w:tcW w:w="5035" w:type="dxa"/>
          </w:tcPr>
          <w:p w14:paraId="5F78361E" w14:textId="1911DF99" w:rsidR="004D1C93" w:rsidRDefault="004D1C93" w:rsidP="00B0051B">
            <w:r>
              <w:t xml:space="preserve">Had at least one unhealed pressure ulcer at </w:t>
            </w:r>
            <w:r w:rsidR="00436120">
              <w:t>swing bed</w:t>
            </w:r>
            <w:r>
              <w:t xml:space="preserve"> admission</w:t>
            </w:r>
          </w:p>
        </w:tc>
        <w:tc>
          <w:tcPr>
            <w:tcW w:w="5035" w:type="dxa"/>
          </w:tcPr>
          <w:p w14:paraId="21C0F3F8" w14:textId="77777777" w:rsidR="004D1C93" w:rsidRDefault="004D1C93" w:rsidP="00B0051B">
            <w:r>
              <w:t>9.6%</w:t>
            </w:r>
          </w:p>
        </w:tc>
      </w:tr>
      <w:tr w:rsidR="004D1C93" w14:paraId="4B04C059" w14:textId="77777777" w:rsidTr="00B0051B">
        <w:tc>
          <w:tcPr>
            <w:tcW w:w="5035" w:type="dxa"/>
          </w:tcPr>
          <w:p w14:paraId="24558251" w14:textId="77777777" w:rsidR="004D1C93" w:rsidRDefault="004D1C93" w:rsidP="00B0051B">
            <w:r>
              <w:t>Makes self fully understood</w:t>
            </w:r>
          </w:p>
        </w:tc>
        <w:tc>
          <w:tcPr>
            <w:tcW w:w="5035" w:type="dxa"/>
          </w:tcPr>
          <w:p w14:paraId="7F751DCA" w14:textId="77777777" w:rsidR="004D1C93" w:rsidRDefault="004D1C93" w:rsidP="00B0051B">
            <w:r>
              <w:t>80.2%</w:t>
            </w:r>
          </w:p>
        </w:tc>
      </w:tr>
      <w:tr w:rsidR="004D1C93" w14:paraId="57EF57E5" w14:textId="77777777" w:rsidTr="00B0051B">
        <w:tc>
          <w:tcPr>
            <w:tcW w:w="5035" w:type="dxa"/>
          </w:tcPr>
          <w:p w14:paraId="1053FAD0" w14:textId="77777777" w:rsidR="004D1C93" w:rsidRDefault="004D1C93" w:rsidP="00B0051B">
            <w:r>
              <w:t>Clearly understands others</w:t>
            </w:r>
          </w:p>
        </w:tc>
        <w:tc>
          <w:tcPr>
            <w:tcW w:w="5035" w:type="dxa"/>
          </w:tcPr>
          <w:p w14:paraId="00C9C74C" w14:textId="77777777" w:rsidR="004D1C93" w:rsidRDefault="004D1C93" w:rsidP="00B0051B">
            <w:r>
              <w:t>76.9%</w:t>
            </w:r>
          </w:p>
        </w:tc>
      </w:tr>
      <w:tr w:rsidR="004D1C93" w14:paraId="553E4F1E" w14:textId="77777777" w:rsidTr="00B0051B">
        <w:tc>
          <w:tcPr>
            <w:tcW w:w="5035" w:type="dxa"/>
          </w:tcPr>
          <w:p w14:paraId="2334987C" w14:textId="7E126506" w:rsidR="004D1C93" w:rsidRDefault="004D1C93" w:rsidP="006B0559">
            <w:r>
              <w:t xml:space="preserve">Brief </w:t>
            </w:r>
            <w:r w:rsidR="000D6268">
              <w:t>I</w:t>
            </w:r>
            <w:r>
              <w:t xml:space="preserve">nterview for </w:t>
            </w:r>
            <w:r w:rsidR="000D6268">
              <w:t>M</w:t>
            </w:r>
            <w:r>
              <w:t xml:space="preserve">ental </w:t>
            </w:r>
            <w:r w:rsidR="000D6268">
              <w:t>S</w:t>
            </w:r>
            <w:r>
              <w:t>tatus</w:t>
            </w:r>
            <w:r w:rsidR="000D6268">
              <w:t xml:space="preserve"> (BIMS)</w:t>
            </w:r>
            <w:r w:rsidR="006B0559">
              <w:br/>
            </w:r>
            <w:r>
              <w:t>summary score (0 to 15)</w:t>
            </w:r>
          </w:p>
        </w:tc>
        <w:tc>
          <w:tcPr>
            <w:tcW w:w="5035" w:type="dxa"/>
          </w:tcPr>
          <w:p w14:paraId="7B9D1BBE" w14:textId="7B02D517" w:rsidR="000D6268" w:rsidRDefault="000D6268" w:rsidP="006B0559">
            <w:r>
              <w:t>63.7% Cognitively intact (score 13-15)</w:t>
            </w:r>
            <w:r w:rsidR="006B0559">
              <w:br/>
            </w:r>
            <w:r>
              <w:t>24.9% Moderately impaired (score 8-12)</w:t>
            </w:r>
            <w:r w:rsidR="006B0559">
              <w:br/>
            </w:r>
            <w:r>
              <w:t>11.6% Severely impaired (score 0-7)</w:t>
            </w:r>
          </w:p>
        </w:tc>
      </w:tr>
      <w:tr w:rsidR="004D1C93" w14:paraId="06533148" w14:textId="77777777" w:rsidTr="00B0051B">
        <w:tc>
          <w:tcPr>
            <w:tcW w:w="5035" w:type="dxa"/>
          </w:tcPr>
          <w:p w14:paraId="526E1EEB" w14:textId="77777777" w:rsidR="004D1C93" w:rsidRDefault="004D1C93" w:rsidP="00B0051B">
            <w:r>
              <w:t>Always urinary continent</w:t>
            </w:r>
          </w:p>
        </w:tc>
        <w:tc>
          <w:tcPr>
            <w:tcW w:w="5035" w:type="dxa"/>
          </w:tcPr>
          <w:p w14:paraId="65A50239" w14:textId="77777777" w:rsidR="004D1C93" w:rsidRDefault="004D1C93" w:rsidP="00B0051B">
            <w:r>
              <w:t>57.3%</w:t>
            </w:r>
          </w:p>
        </w:tc>
      </w:tr>
      <w:tr w:rsidR="004D1C93" w14:paraId="5B948706" w14:textId="77777777" w:rsidTr="00B0051B">
        <w:tc>
          <w:tcPr>
            <w:tcW w:w="5035" w:type="dxa"/>
          </w:tcPr>
          <w:p w14:paraId="40965233" w14:textId="77777777" w:rsidR="004D1C93" w:rsidRDefault="004D1C93" w:rsidP="00B0051B">
            <w:r>
              <w:t>Always bowel continent</w:t>
            </w:r>
          </w:p>
        </w:tc>
        <w:tc>
          <w:tcPr>
            <w:tcW w:w="5035" w:type="dxa"/>
          </w:tcPr>
          <w:p w14:paraId="61DC4D76" w14:textId="77777777" w:rsidR="004D1C93" w:rsidRDefault="004D1C93" w:rsidP="00B0051B">
            <w:r>
              <w:t>74.8%</w:t>
            </w:r>
          </w:p>
        </w:tc>
      </w:tr>
      <w:tr w:rsidR="004D1C93" w14:paraId="73C26A87" w14:textId="77777777" w:rsidTr="00B0051B">
        <w:tc>
          <w:tcPr>
            <w:tcW w:w="5035" w:type="dxa"/>
          </w:tcPr>
          <w:p w14:paraId="6C0CE53E" w14:textId="37E10E9A" w:rsidR="004D1C93" w:rsidRDefault="004D1C93" w:rsidP="000D6268">
            <w:r>
              <w:t>T</w:t>
            </w:r>
            <w:r w:rsidR="000D6268">
              <w:t>ube</w:t>
            </w:r>
            <w:r>
              <w:t xml:space="preserve"> feeding</w:t>
            </w:r>
          </w:p>
        </w:tc>
        <w:tc>
          <w:tcPr>
            <w:tcW w:w="5035" w:type="dxa"/>
          </w:tcPr>
          <w:p w14:paraId="45C36339" w14:textId="77777777" w:rsidR="004D1C93" w:rsidRDefault="004D1C93" w:rsidP="00B0051B">
            <w:r>
              <w:t>1.3%</w:t>
            </w:r>
          </w:p>
        </w:tc>
      </w:tr>
      <w:tr w:rsidR="004D1C93" w14:paraId="0886CDA2" w14:textId="77777777" w:rsidTr="00B0051B">
        <w:tc>
          <w:tcPr>
            <w:tcW w:w="5035" w:type="dxa"/>
          </w:tcPr>
          <w:p w14:paraId="047DC1AC" w14:textId="77777777" w:rsidR="004D1C93" w:rsidRDefault="004D1C93" w:rsidP="00B0051B">
            <w:r>
              <w:t>Parenteral nutrition</w:t>
            </w:r>
          </w:p>
        </w:tc>
        <w:tc>
          <w:tcPr>
            <w:tcW w:w="5035" w:type="dxa"/>
          </w:tcPr>
          <w:p w14:paraId="677B8413" w14:textId="77777777" w:rsidR="004D1C93" w:rsidRDefault="004D1C93" w:rsidP="00B0051B">
            <w:r>
              <w:t>0.7%</w:t>
            </w:r>
          </w:p>
        </w:tc>
      </w:tr>
      <w:tr w:rsidR="004D1C93" w14:paraId="3B7F12AD" w14:textId="77777777" w:rsidTr="00B0051B">
        <w:tc>
          <w:tcPr>
            <w:tcW w:w="5035" w:type="dxa"/>
          </w:tcPr>
          <w:p w14:paraId="368B7593" w14:textId="77777777" w:rsidR="004D1C93" w:rsidRDefault="004D1C93" w:rsidP="00B0051B">
            <w:r>
              <w:t xml:space="preserve">Medical comorbidities </w:t>
            </w:r>
          </w:p>
          <w:p w14:paraId="1F2A6B4F" w14:textId="77777777" w:rsidR="004D1C93" w:rsidRDefault="004D1C93" w:rsidP="00B0051B">
            <w:pPr>
              <w:pStyle w:val="ListParagraph"/>
              <w:numPr>
                <w:ilvl w:val="0"/>
                <w:numId w:val="19"/>
              </w:numPr>
            </w:pPr>
            <w:r>
              <w:t>Diabetes</w:t>
            </w:r>
          </w:p>
          <w:p w14:paraId="3963868C" w14:textId="77777777" w:rsidR="004D1C93" w:rsidRDefault="004D1C93" w:rsidP="00B0051B">
            <w:pPr>
              <w:pStyle w:val="ListParagraph"/>
              <w:numPr>
                <w:ilvl w:val="0"/>
                <w:numId w:val="19"/>
              </w:numPr>
            </w:pPr>
            <w:r>
              <w:t>Chronic Ischemic Heart Disease</w:t>
            </w:r>
          </w:p>
          <w:p w14:paraId="3A2D8253" w14:textId="77777777" w:rsidR="004D1C93" w:rsidRDefault="004D1C93" w:rsidP="00B0051B">
            <w:pPr>
              <w:pStyle w:val="ListParagraph"/>
              <w:numPr>
                <w:ilvl w:val="0"/>
                <w:numId w:val="19"/>
              </w:numPr>
            </w:pPr>
            <w:r>
              <w:t>Major Infections</w:t>
            </w:r>
          </w:p>
          <w:p w14:paraId="7EED7F58" w14:textId="77777777" w:rsidR="004D1C93" w:rsidRDefault="004D1C93" w:rsidP="00B0051B">
            <w:pPr>
              <w:pStyle w:val="ListParagraph"/>
              <w:numPr>
                <w:ilvl w:val="0"/>
                <w:numId w:val="19"/>
              </w:numPr>
            </w:pPr>
            <w:r>
              <w:t>Dementia</w:t>
            </w:r>
          </w:p>
        </w:tc>
        <w:tc>
          <w:tcPr>
            <w:tcW w:w="5035" w:type="dxa"/>
          </w:tcPr>
          <w:p w14:paraId="783B40F6" w14:textId="77777777" w:rsidR="004D1C93" w:rsidRDefault="004D1C93" w:rsidP="00B0051B"/>
          <w:p w14:paraId="14381016" w14:textId="77777777" w:rsidR="004D1C93" w:rsidRDefault="004D1C93" w:rsidP="00B0051B">
            <w:r>
              <w:t>28.5%</w:t>
            </w:r>
          </w:p>
          <w:p w14:paraId="45CDD311" w14:textId="77777777" w:rsidR="004D1C93" w:rsidRDefault="004D1C93" w:rsidP="00B0051B">
            <w:r>
              <w:t>25.7%</w:t>
            </w:r>
          </w:p>
          <w:p w14:paraId="0426FA10" w14:textId="77777777" w:rsidR="004D1C93" w:rsidRDefault="004D1C93" w:rsidP="00B0051B">
            <w:r>
              <w:t>18.2%</w:t>
            </w:r>
          </w:p>
          <w:p w14:paraId="6653E4D8" w14:textId="77777777" w:rsidR="004D1C93" w:rsidRDefault="004D1C93" w:rsidP="00B0051B">
            <w:r>
              <w:t>10.8%</w:t>
            </w:r>
          </w:p>
        </w:tc>
      </w:tr>
    </w:tbl>
    <w:p w14:paraId="14FC5962" w14:textId="4C43C416" w:rsidR="000D6268" w:rsidRDefault="000D6268" w:rsidP="004D1C93">
      <w:pPr>
        <w:spacing w:after="0" w:line="480" w:lineRule="auto"/>
      </w:pPr>
    </w:p>
    <w:p w14:paraId="5EC66C43" w14:textId="77777777" w:rsidR="000D6268" w:rsidRDefault="000D6268">
      <w:r>
        <w:br w:type="page"/>
      </w:r>
    </w:p>
    <w:p w14:paraId="33D9F975"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AB69EC" w14:paraId="32B9D261" w14:textId="77777777" w:rsidTr="00B0051B">
        <w:tc>
          <w:tcPr>
            <w:tcW w:w="10070" w:type="dxa"/>
            <w:gridSpan w:val="2"/>
          </w:tcPr>
          <w:p w14:paraId="2FFDB29C" w14:textId="2F3DB457" w:rsidR="004D1C93" w:rsidRPr="00AB69EC" w:rsidRDefault="004D1C93" w:rsidP="00B0051B">
            <w:pPr>
              <w:rPr>
                <w:b/>
              </w:rPr>
            </w:pPr>
            <w:r>
              <w:rPr>
                <w:b/>
              </w:rPr>
              <w:t xml:space="preserve">Table 5. CAH </w:t>
            </w:r>
            <w:r w:rsidR="00A6597A">
              <w:rPr>
                <w:b/>
              </w:rPr>
              <w:t>Swing B</w:t>
            </w:r>
            <w:r w:rsidR="00436120">
              <w:rPr>
                <w:b/>
              </w:rPr>
              <w:t>ed</w:t>
            </w:r>
            <w:r w:rsidRPr="00AB69EC">
              <w:rPr>
                <w:b/>
              </w:rPr>
              <w:t xml:space="preserve"> Patient Discharge Status</w:t>
            </w:r>
          </w:p>
        </w:tc>
      </w:tr>
      <w:tr w:rsidR="004D1C93" w14:paraId="6C2A3916" w14:textId="77777777" w:rsidTr="00B0051B">
        <w:tc>
          <w:tcPr>
            <w:tcW w:w="5035" w:type="dxa"/>
          </w:tcPr>
          <w:p w14:paraId="1DC8A690" w14:textId="77777777" w:rsidR="004D1C93" w:rsidRDefault="004D1C93" w:rsidP="00B0051B">
            <w:r>
              <w:t>Community</w:t>
            </w:r>
          </w:p>
        </w:tc>
        <w:tc>
          <w:tcPr>
            <w:tcW w:w="5035" w:type="dxa"/>
          </w:tcPr>
          <w:p w14:paraId="35AA9531" w14:textId="77777777" w:rsidR="004D1C93" w:rsidRDefault="004D1C93" w:rsidP="00B0051B">
            <w:r>
              <w:t>71.9%</w:t>
            </w:r>
          </w:p>
        </w:tc>
      </w:tr>
      <w:tr w:rsidR="004D1C93" w14:paraId="6C190387" w14:textId="77777777" w:rsidTr="00B0051B">
        <w:tc>
          <w:tcPr>
            <w:tcW w:w="5035" w:type="dxa"/>
          </w:tcPr>
          <w:p w14:paraId="2ADCFB5A" w14:textId="77777777" w:rsidR="004D1C93" w:rsidRDefault="004D1C93" w:rsidP="00B0051B">
            <w:r>
              <w:t>SNF</w:t>
            </w:r>
          </w:p>
        </w:tc>
        <w:tc>
          <w:tcPr>
            <w:tcW w:w="5035" w:type="dxa"/>
          </w:tcPr>
          <w:p w14:paraId="7AA376FF" w14:textId="77777777" w:rsidR="004D1C93" w:rsidRDefault="004D1C93" w:rsidP="00B0051B">
            <w:r>
              <w:t>13.3%</w:t>
            </w:r>
          </w:p>
        </w:tc>
      </w:tr>
      <w:tr w:rsidR="004D1C93" w14:paraId="524E1CD5" w14:textId="77777777" w:rsidTr="00B0051B">
        <w:tc>
          <w:tcPr>
            <w:tcW w:w="5035" w:type="dxa"/>
          </w:tcPr>
          <w:p w14:paraId="16A94BA8" w14:textId="77777777" w:rsidR="004D1C93" w:rsidRDefault="004D1C93" w:rsidP="00B0051B">
            <w:r>
              <w:t>Acute Hospital</w:t>
            </w:r>
          </w:p>
        </w:tc>
        <w:tc>
          <w:tcPr>
            <w:tcW w:w="5035" w:type="dxa"/>
          </w:tcPr>
          <w:p w14:paraId="77C81803" w14:textId="77777777" w:rsidR="004D1C93" w:rsidRDefault="004D1C93" w:rsidP="00B0051B">
            <w:r>
              <w:t>8.6%</w:t>
            </w:r>
          </w:p>
        </w:tc>
      </w:tr>
      <w:tr w:rsidR="004D1C93" w14:paraId="165C08B7" w14:textId="77777777" w:rsidTr="00B0051B">
        <w:tc>
          <w:tcPr>
            <w:tcW w:w="5035" w:type="dxa"/>
          </w:tcPr>
          <w:p w14:paraId="19B4E708" w14:textId="77777777" w:rsidR="004D1C93" w:rsidRDefault="004D1C93" w:rsidP="00B0051B">
            <w:r>
              <w:t>Deceased</w:t>
            </w:r>
          </w:p>
        </w:tc>
        <w:tc>
          <w:tcPr>
            <w:tcW w:w="5035" w:type="dxa"/>
          </w:tcPr>
          <w:p w14:paraId="4C0FD49A" w14:textId="77777777" w:rsidR="004D1C93" w:rsidRDefault="004D1C93" w:rsidP="00B0051B">
            <w:r>
              <w:t>2.5%</w:t>
            </w:r>
          </w:p>
        </w:tc>
      </w:tr>
      <w:tr w:rsidR="004D1C93" w14:paraId="40C0DA93" w14:textId="77777777" w:rsidTr="00B0051B">
        <w:tc>
          <w:tcPr>
            <w:tcW w:w="5035" w:type="dxa"/>
          </w:tcPr>
          <w:p w14:paraId="63C7161E" w14:textId="77777777" w:rsidR="004D1C93" w:rsidRDefault="004D1C93" w:rsidP="00B0051B">
            <w:r>
              <w:t>Hospice</w:t>
            </w:r>
          </w:p>
        </w:tc>
        <w:tc>
          <w:tcPr>
            <w:tcW w:w="5035" w:type="dxa"/>
          </w:tcPr>
          <w:p w14:paraId="67A85B3B" w14:textId="77777777" w:rsidR="004D1C93" w:rsidRDefault="004D1C93" w:rsidP="00B0051B">
            <w:r>
              <w:t>1.9%</w:t>
            </w:r>
          </w:p>
        </w:tc>
      </w:tr>
    </w:tbl>
    <w:p w14:paraId="418E01B5" w14:textId="1217FA98" w:rsidR="000D6268" w:rsidRDefault="000D6268" w:rsidP="004D1C93">
      <w:pPr>
        <w:spacing w:after="0" w:line="480" w:lineRule="auto"/>
      </w:pPr>
    </w:p>
    <w:p w14:paraId="3CF54E7E" w14:textId="77777777" w:rsidR="000D6268" w:rsidRDefault="000D6268">
      <w:r>
        <w:br w:type="page"/>
      </w:r>
    </w:p>
    <w:p w14:paraId="567643E8"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462BF6" w14:paraId="777BA423" w14:textId="77777777" w:rsidTr="00B0051B">
        <w:tc>
          <w:tcPr>
            <w:tcW w:w="10070" w:type="dxa"/>
            <w:gridSpan w:val="2"/>
          </w:tcPr>
          <w:p w14:paraId="7FE46174" w14:textId="53E312A9" w:rsidR="004D1C93" w:rsidRPr="00462BF6" w:rsidRDefault="004D1C93" w:rsidP="00B0051B">
            <w:pPr>
              <w:rPr>
                <w:b/>
              </w:rPr>
            </w:pPr>
            <w:bookmarkStart w:id="18" w:name="_Hlk25004221"/>
            <w:r>
              <w:rPr>
                <w:b/>
              </w:rPr>
              <w:t xml:space="preserve">Table 6. CAH </w:t>
            </w:r>
            <w:r w:rsidR="00A6597A">
              <w:rPr>
                <w:b/>
              </w:rPr>
              <w:t>Swing B</w:t>
            </w:r>
            <w:r w:rsidR="00436120">
              <w:rPr>
                <w:b/>
              </w:rPr>
              <w:t>ed</w:t>
            </w:r>
            <w:r w:rsidRPr="00462BF6">
              <w:rPr>
                <w:b/>
              </w:rPr>
              <w:t xml:space="preserve"> Patient Outcome Results</w:t>
            </w:r>
            <w:r w:rsidR="001F32AB">
              <w:rPr>
                <w:b/>
              </w:rPr>
              <w:t xml:space="preserve"> (Non-risk ad</w:t>
            </w:r>
            <w:r w:rsidR="008F0171">
              <w:rPr>
                <w:b/>
              </w:rPr>
              <w:t>j</w:t>
            </w:r>
            <w:r w:rsidR="001F32AB">
              <w:rPr>
                <w:b/>
              </w:rPr>
              <w:t>usted)</w:t>
            </w:r>
          </w:p>
        </w:tc>
      </w:tr>
      <w:tr w:rsidR="004D1C93" w14:paraId="76F96F0E" w14:textId="77777777" w:rsidTr="00B0051B">
        <w:tc>
          <w:tcPr>
            <w:tcW w:w="5035" w:type="dxa"/>
          </w:tcPr>
          <w:p w14:paraId="5D54BC70" w14:textId="71AA2617" w:rsidR="004D1C93" w:rsidRPr="00E965ED" w:rsidRDefault="004D1C93" w:rsidP="00E965ED">
            <w:r w:rsidRPr="00E965ED">
              <w:t>30</w:t>
            </w:r>
            <w:r w:rsidR="00E965ED" w:rsidRPr="00E965ED">
              <w:t>-</w:t>
            </w:r>
            <w:r w:rsidR="000D6268" w:rsidRPr="00E965ED">
              <w:t>d</w:t>
            </w:r>
            <w:r w:rsidRPr="00E965ED">
              <w:t>ay hospital readmission rate</w:t>
            </w:r>
            <w:r w:rsidR="00A6597A">
              <w:t xml:space="preserve"> after swing bed discharge</w:t>
            </w:r>
          </w:p>
        </w:tc>
        <w:tc>
          <w:tcPr>
            <w:tcW w:w="5035" w:type="dxa"/>
          </w:tcPr>
          <w:p w14:paraId="16CDF9EB" w14:textId="77777777" w:rsidR="004D1C93" w:rsidRDefault="004D1C93" w:rsidP="00B0051B">
            <w:r>
              <w:t>14.5%</w:t>
            </w:r>
          </w:p>
        </w:tc>
      </w:tr>
      <w:tr w:rsidR="004D1C93" w14:paraId="454F1BDF" w14:textId="77777777" w:rsidTr="00B0051B">
        <w:tc>
          <w:tcPr>
            <w:tcW w:w="5035" w:type="dxa"/>
          </w:tcPr>
          <w:p w14:paraId="5A265F40" w14:textId="2D44A6DB" w:rsidR="004D1C93" w:rsidRPr="00E965ED" w:rsidRDefault="004D1C93" w:rsidP="00E965ED">
            <w:r w:rsidRPr="00E965ED">
              <w:t>30</w:t>
            </w:r>
            <w:r w:rsidR="00E965ED" w:rsidRPr="00E965ED">
              <w:t>-</w:t>
            </w:r>
            <w:r w:rsidR="000D6268" w:rsidRPr="00E965ED">
              <w:t>d</w:t>
            </w:r>
            <w:r w:rsidRPr="00E965ED">
              <w:t>ay ED visit rate</w:t>
            </w:r>
            <w:r w:rsidR="00A6597A">
              <w:t xml:space="preserve"> after swing bed discharge</w:t>
            </w:r>
          </w:p>
        </w:tc>
        <w:tc>
          <w:tcPr>
            <w:tcW w:w="5035" w:type="dxa"/>
          </w:tcPr>
          <w:p w14:paraId="0D20FB23" w14:textId="77777777" w:rsidR="004D1C93" w:rsidRDefault="004D1C93" w:rsidP="00B0051B">
            <w:r>
              <w:t>9.3%</w:t>
            </w:r>
          </w:p>
        </w:tc>
      </w:tr>
      <w:bookmarkEnd w:id="18"/>
    </w:tbl>
    <w:p w14:paraId="06ED0FA9" w14:textId="7820A448" w:rsidR="000D6268" w:rsidRDefault="000D6268" w:rsidP="004D1C93">
      <w:pPr>
        <w:spacing w:after="0" w:line="480" w:lineRule="auto"/>
      </w:pPr>
    </w:p>
    <w:p w14:paraId="174B560B" w14:textId="77777777" w:rsidR="000D6268" w:rsidRDefault="000D6268">
      <w:r>
        <w:br w:type="page"/>
      </w:r>
    </w:p>
    <w:p w14:paraId="4793473C" w14:textId="77777777" w:rsidR="004D1C93" w:rsidRDefault="004D1C93" w:rsidP="004D1C93">
      <w:pPr>
        <w:spacing w:after="0" w:line="480" w:lineRule="auto"/>
      </w:pPr>
    </w:p>
    <w:tbl>
      <w:tblPr>
        <w:tblStyle w:val="TableGrid"/>
        <w:tblW w:w="0" w:type="auto"/>
        <w:tblLook w:val="04A0" w:firstRow="1" w:lastRow="0" w:firstColumn="1" w:lastColumn="0" w:noHBand="0" w:noVBand="1"/>
      </w:tblPr>
      <w:tblGrid>
        <w:gridCol w:w="5035"/>
        <w:gridCol w:w="5035"/>
      </w:tblGrid>
      <w:tr w:rsidR="004D1C93" w:rsidRPr="00462BF6" w14:paraId="3FDFEB29" w14:textId="77777777" w:rsidTr="00B0051B">
        <w:tc>
          <w:tcPr>
            <w:tcW w:w="10070" w:type="dxa"/>
            <w:gridSpan w:val="2"/>
          </w:tcPr>
          <w:p w14:paraId="4F7E6B1C" w14:textId="002FF7F1" w:rsidR="004D1C93" w:rsidRPr="00462BF6" w:rsidRDefault="004D1C93" w:rsidP="00B0051B">
            <w:pPr>
              <w:rPr>
                <w:b/>
              </w:rPr>
            </w:pPr>
            <w:bookmarkStart w:id="19" w:name="_Hlk25004609"/>
            <w:r>
              <w:rPr>
                <w:b/>
              </w:rPr>
              <w:t xml:space="preserve">Table 7. CAH </w:t>
            </w:r>
            <w:r w:rsidR="00A6597A">
              <w:rPr>
                <w:b/>
              </w:rPr>
              <w:t>Swing B</w:t>
            </w:r>
            <w:r w:rsidR="00436120">
              <w:rPr>
                <w:b/>
              </w:rPr>
              <w:t>ed</w:t>
            </w:r>
            <w:r w:rsidRPr="00462BF6">
              <w:rPr>
                <w:b/>
              </w:rPr>
              <w:t xml:space="preserve"> Functional Status Results</w:t>
            </w:r>
          </w:p>
        </w:tc>
      </w:tr>
      <w:tr w:rsidR="004D1C93" w14:paraId="14D30FE3" w14:textId="77777777" w:rsidTr="00B0051B">
        <w:tc>
          <w:tcPr>
            <w:tcW w:w="5035" w:type="dxa"/>
          </w:tcPr>
          <w:p w14:paraId="0C4D6382" w14:textId="77777777" w:rsidR="004D1C93" w:rsidRDefault="004D1C93" w:rsidP="00B0051B">
            <w:r w:rsidRPr="00462BF6">
              <w:t>Average non-risk adjusted improvement</w:t>
            </w:r>
            <w:r>
              <w:t xml:space="preserve"> in patient self-care</w:t>
            </w:r>
          </w:p>
        </w:tc>
        <w:tc>
          <w:tcPr>
            <w:tcW w:w="5035" w:type="dxa"/>
          </w:tcPr>
          <w:p w14:paraId="6338CB10" w14:textId="40C8E66C" w:rsidR="004D1C93" w:rsidRPr="00383607" w:rsidRDefault="004D1C93" w:rsidP="006B0559">
            <w:r w:rsidRPr="00383607">
              <w:t>7.2 units</w:t>
            </w:r>
            <w:r w:rsidR="006B0559" w:rsidRPr="00383607">
              <w:br/>
            </w:r>
            <w:r w:rsidRPr="00383607">
              <w:t>Based on 7 items with each item scored on a scale of 1-6 at admission and discharge (average overall patient self-care score at admission of 25.4)</w:t>
            </w:r>
          </w:p>
        </w:tc>
      </w:tr>
      <w:tr w:rsidR="004D1C93" w14:paraId="49ECF28B" w14:textId="77777777" w:rsidTr="00B0051B">
        <w:tc>
          <w:tcPr>
            <w:tcW w:w="5035" w:type="dxa"/>
          </w:tcPr>
          <w:p w14:paraId="00154099" w14:textId="77777777" w:rsidR="004D1C93" w:rsidRPr="00462BF6" w:rsidRDefault="004D1C93" w:rsidP="00B0051B">
            <w:r w:rsidRPr="00462BF6">
              <w:t xml:space="preserve">Average non-risk adjusted </w:t>
            </w:r>
            <w:r>
              <w:t>improvement in patient mobility</w:t>
            </w:r>
          </w:p>
        </w:tc>
        <w:tc>
          <w:tcPr>
            <w:tcW w:w="5035" w:type="dxa"/>
          </w:tcPr>
          <w:p w14:paraId="4373BB80" w14:textId="34A83B21" w:rsidR="004D1C93" w:rsidRPr="00383607" w:rsidRDefault="000D6268" w:rsidP="006B0559">
            <w:r w:rsidRPr="00383607">
              <w:t>19.7</w:t>
            </w:r>
            <w:r w:rsidR="004D1C93" w:rsidRPr="00383607">
              <w:t xml:space="preserve"> units</w:t>
            </w:r>
            <w:r w:rsidR="006B0559" w:rsidRPr="00383607">
              <w:br/>
            </w:r>
            <w:r w:rsidR="004D1C93" w:rsidRPr="00383607">
              <w:t>Based on 15 items with each item scored on a scale of 1-6 at admission and discharge (average overall patient mobility score at admission of 37.2)</w:t>
            </w:r>
          </w:p>
        </w:tc>
      </w:tr>
      <w:bookmarkEnd w:id="19"/>
    </w:tbl>
    <w:p w14:paraId="22219E8E" w14:textId="5AFC4FC2" w:rsidR="000D6268" w:rsidRDefault="000D6268" w:rsidP="004D1C93">
      <w:pPr>
        <w:spacing w:after="0" w:line="240" w:lineRule="auto"/>
      </w:pPr>
    </w:p>
    <w:p w14:paraId="1C8CA58A" w14:textId="77777777" w:rsidR="000D6268" w:rsidRDefault="000D6268">
      <w:r>
        <w:br w:type="page"/>
      </w:r>
    </w:p>
    <w:p w14:paraId="1CF76C24" w14:textId="77777777" w:rsidR="004D1C93" w:rsidRDefault="004D1C93" w:rsidP="004D1C93">
      <w:pPr>
        <w:spacing w:after="0" w:line="240" w:lineRule="auto"/>
      </w:pPr>
    </w:p>
    <w:tbl>
      <w:tblPr>
        <w:tblStyle w:val="TableGrid"/>
        <w:tblW w:w="10075" w:type="dxa"/>
        <w:tblLook w:val="04A0" w:firstRow="1" w:lastRow="0" w:firstColumn="1" w:lastColumn="0" w:noHBand="0" w:noVBand="1"/>
      </w:tblPr>
      <w:tblGrid>
        <w:gridCol w:w="3325"/>
        <w:gridCol w:w="2160"/>
        <w:gridCol w:w="1890"/>
        <w:gridCol w:w="2700"/>
      </w:tblGrid>
      <w:tr w:rsidR="004D1C93" w:rsidRPr="00462BF6" w14:paraId="06AAFB53" w14:textId="77777777" w:rsidTr="00B0051B">
        <w:tc>
          <w:tcPr>
            <w:tcW w:w="10075" w:type="dxa"/>
            <w:gridSpan w:val="4"/>
          </w:tcPr>
          <w:p w14:paraId="7ECC822D" w14:textId="6CEB9E6C" w:rsidR="004D1C93" w:rsidRPr="00462BF6" w:rsidRDefault="004D1C93" w:rsidP="000D6268">
            <w:pPr>
              <w:rPr>
                <w:b/>
              </w:rPr>
            </w:pPr>
            <w:r w:rsidRPr="00462BF6">
              <w:rPr>
                <w:b/>
              </w:rPr>
              <w:t xml:space="preserve">Table 8. </w:t>
            </w:r>
            <w:r w:rsidR="000D6268">
              <w:rPr>
                <w:b/>
              </w:rPr>
              <w:t xml:space="preserve">Comparison of </w:t>
            </w:r>
            <w:r w:rsidRPr="00462BF6">
              <w:rPr>
                <w:b/>
              </w:rPr>
              <w:t xml:space="preserve">Risk Adjusted </w:t>
            </w:r>
            <w:r w:rsidR="000D6268">
              <w:rPr>
                <w:b/>
              </w:rPr>
              <w:t>Hospital Readmission</w:t>
            </w:r>
            <w:r w:rsidRPr="00462BF6">
              <w:rPr>
                <w:b/>
              </w:rPr>
              <w:t xml:space="preserve"> Results</w:t>
            </w:r>
            <w:r w:rsidR="000D6268">
              <w:rPr>
                <w:b/>
              </w:rPr>
              <w:t xml:space="preserve"> for CAH Swing Beds and Rural SNFs</w:t>
            </w:r>
          </w:p>
        </w:tc>
      </w:tr>
      <w:tr w:rsidR="004D1C93" w14:paraId="4F00CC38" w14:textId="77777777" w:rsidTr="00B0051B">
        <w:tc>
          <w:tcPr>
            <w:tcW w:w="3325" w:type="dxa"/>
          </w:tcPr>
          <w:p w14:paraId="6878661B" w14:textId="77777777" w:rsidR="004D1C93" w:rsidRDefault="004D1C93" w:rsidP="00B0051B"/>
        </w:tc>
        <w:tc>
          <w:tcPr>
            <w:tcW w:w="2160" w:type="dxa"/>
          </w:tcPr>
          <w:p w14:paraId="6DF21A88" w14:textId="017317A1" w:rsidR="004D1C93" w:rsidRDefault="004D1C93" w:rsidP="00115870">
            <w:r>
              <w:t>CAHs in sample (n=124)</w:t>
            </w:r>
          </w:p>
        </w:tc>
        <w:tc>
          <w:tcPr>
            <w:tcW w:w="1890" w:type="dxa"/>
          </w:tcPr>
          <w:p w14:paraId="6149158A" w14:textId="33A4B0DF" w:rsidR="004D1C93" w:rsidRDefault="004D1C93" w:rsidP="006B0559">
            <w:r>
              <w:t>Rural SNFs*</w:t>
            </w:r>
            <w:r w:rsidR="006B0559">
              <w:br/>
            </w:r>
            <w:r>
              <w:t>(n=4,250)</w:t>
            </w:r>
          </w:p>
        </w:tc>
        <w:tc>
          <w:tcPr>
            <w:tcW w:w="2700" w:type="dxa"/>
          </w:tcPr>
          <w:p w14:paraId="7201ED7D" w14:textId="78628547" w:rsidR="004D1C93" w:rsidRDefault="004D1C93" w:rsidP="006B0559">
            <w:r>
              <w:t>Rural SNFs**</w:t>
            </w:r>
            <w:r w:rsidR="006B0559">
              <w:br/>
            </w:r>
            <w:r>
              <w:t>(N=521)</w:t>
            </w:r>
          </w:p>
        </w:tc>
      </w:tr>
      <w:tr w:rsidR="004D1C93" w14:paraId="336D5BDA" w14:textId="77777777" w:rsidTr="00B0051B">
        <w:tc>
          <w:tcPr>
            <w:tcW w:w="3325" w:type="dxa"/>
          </w:tcPr>
          <w:p w14:paraId="6CA76B44" w14:textId="2D1A1D9B" w:rsidR="004D1C93" w:rsidRDefault="004D1C93" w:rsidP="00B0051B">
            <w:r>
              <w:t xml:space="preserve">Hospital readmission rate during </w:t>
            </w:r>
            <w:r w:rsidR="00436120">
              <w:t>swing bed</w:t>
            </w:r>
            <w:r>
              <w:t xml:space="preserve"> stay</w:t>
            </w:r>
          </w:p>
        </w:tc>
        <w:tc>
          <w:tcPr>
            <w:tcW w:w="2160" w:type="dxa"/>
          </w:tcPr>
          <w:p w14:paraId="6DCAF142" w14:textId="77777777" w:rsidR="004D1C93" w:rsidRDefault="004D1C93" w:rsidP="00B0051B">
            <w:r>
              <w:t>5.0%</w:t>
            </w:r>
          </w:p>
        </w:tc>
        <w:tc>
          <w:tcPr>
            <w:tcW w:w="1890" w:type="dxa"/>
          </w:tcPr>
          <w:p w14:paraId="1D965E00" w14:textId="77777777" w:rsidR="004D1C93" w:rsidRDefault="004D1C93" w:rsidP="00B0051B"/>
        </w:tc>
        <w:tc>
          <w:tcPr>
            <w:tcW w:w="2700" w:type="dxa"/>
          </w:tcPr>
          <w:p w14:paraId="2CA0E491" w14:textId="77777777" w:rsidR="004D1C93" w:rsidRDefault="004D1C93" w:rsidP="00B0051B"/>
        </w:tc>
      </w:tr>
      <w:tr w:rsidR="004D1C93" w14:paraId="149C7C2C" w14:textId="77777777" w:rsidTr="00B0051B">
        <w:tc>
          <w:tcPr>
            <w:tcW w:w="3325" w:type="dxa"/>
          </w:tcPr>
          <w:p w14:paraId="0569977C" w14:textId="496AC67E" w:rsidR="004D1C93" w:rsidRPr="00E965ED" w:rsidRDefault="00E965ED" w:rsidP="00A6597A">
            <w:r w:rsidRPr="00E965ED">
              <w:t>30-</w:t>
            </w:r>
            <w:r w:rsidR="00A6597A">
              <w:t>d</w:t>
            </w:r>
            <w:r w:rsidR="004D1C93" w:rsidRPr="00E965ED">
              <w:t xml:space="preserve">ay hospital readmission rate after </w:t>
            </w:r>
            <w:r w:rsidR="00436120">
              <w:t>swing bed</w:t>
            </w:r>
            <w:r w:rsidR="004D1C93" w:rsidRPr="00E965ED">
              <w:t xml:space="preserve"> discharge</w:t>
            </w:r>
          </w:p>
        </w:tc>
        <w:tc>
          <w:tcPr>
            <w:tcW w:w="2160" w:type="dxa"/>
          </w:tcPr>
          <w:p w14:paraId="3EE528FE" w14:textId="77777777" w:rsidR="004D1C93" w:rsidRDefault="004D1C93" w:rsidP="00B0051B">
            <w:r>
              <w:t>13.6%</w:t>
            </w:r>
          </w:p>
        </w:tc>
        <w:tc>
          <w:tcPr>
            <w:tcW w:w="1890" w:type="dxa"/>
          </w:tcPr>
          <w:p w14:paraId="786273E8" w14:textId="77777777" w:rsidR="004D1C93" w:rsidRDefault="004D1C93" w:rsidP="00B0051B"/>
        </w:tc>
        <w:tc>
          <w:tcPr>
            <w:tcW w:w="2700" w:type="dxa"/>
          </w:tcPr>
          <w:p w14:paraId="7405911A" w14:textId="77777777" w:rsidR="004D1C93" w:rsidRDefault="004D1C93" w:rsidP="00B0051B"/>
        </w:tc>
      </w:tr>
      <w:tr w:rsidR="004D1C93" w14:paraId="6FA0101E" w14:textId="77777777" w:rsidTr="00B0051B">
        <w:tc>
          <w:tcPr>
            <w:tcW w:w="3325" w:type="dxa"/>
          </w:tcPr>
          <w:p w14:paraId="525462D9" w14:textId="0E5A4F25" w:rsidR="004D1C93" w:rsidRPr="00E965ED" w:rsidRDefault="00E965ED" w:rsidP="00A6597A">
            <w:r w:rsidRPr="00E965ED">
              <w:t>30-</w:t>
            </w:r>
            <w:r w:rsidR="00A6597A">
              <w:t>d</w:t>
            </w:r>
            <w:r w:rsidR="004D1C93" w:rsidRPr="00E965ED">
              <w:t>ay hospital readmission rate after hospitalization that resulted in rural SNF stay</w:t>
            </w:r>
          </w:p>
        </w:tc>
        <w:tc>
          <w:tcPr>
            <w:tcW w:w="2160" w:type="dxa"/>
          </w:tcPr>
          <w:p w14:paraId="0A6107E3" w14:textId="77777777" w:rsidR="004D1C93" w:rsidRDefault="004D1C93" w:rsidP="00B0051B"/>
        </w:tc>
        <w:tc>
          <w:tcPr>
            <w:tcW w:w="1890" w:type="dxa"/>
          </w:tcPr>
          <w:p w14:paraId="477835E7" w14:textId="77777777" w:rsidR="004D1C93" w:rsidRDefault="004D1C93" w:rsidP="00B0051B">
            <w:r>
              <w:t>21.1%</w:t>
            </w:r>
          </w:p>
        </w:tc>
        <w:tc>
          <w:tcPr>
            <w:tcW w:w="2700" w:type="dxa"/>
          </w:tcPr>
          <w:p w14:paraId="69B8BFB9" w14:textId="77777777" w:rsidR="004D1C93" w:rsidRDefault="004D1C93" w:rsidP="00B0051B"/>
        </w:tc>
      </w:tr>
      <w:tr w:rsidR="004D1C93" w14:paraId="66E721F5" w14:textId="77777777" w:rsidTr="00B0051B">
        <w:tc>
          <w:tcPr>
            <w:tcW w:w="3325" w:type="dxa"/>
          </w:tcPr>
          <w:p w14:paraId="6A974F06" w14:textId="5D502D51" w:rsidR="004D1C93" w:rsidRPr="00E965ED" w:rsidRDefault="00E965ED" w:rsidP="00A6597A">
            <w:r w:rsidRPr="00E965ED">
              <w:t>30-</w:t>
            </w:r>
            <w:r w:rsidR="00A6597A">
              <w:t>d</w:t>
            </w:r>
            <w:r w:rsidR="004D1C93" w:rsidRPr="00E965ED">
              <w:t>ay hospital readmission rate after rural SNF discharge</w:t>
            </w:r>
          </w:p>
        </w:tc>
        <w:tc>
          <w:tcPr>
            <w:tcW w:w="2160" w:type="dxa"/>
          </w:tcPr>
          <w:p w14:paraId="49BF8A65" w14:textId="77777777" w:rsidR="004D1C93" w:rsidRDefault="004D1C93" w:rsidP="00B0051B"/>
        </w:tc>
        <w:tc>
          <w:tcPr>
            <w:tcW w:w="1890" w:type="dxa"/>
          </w:tcPr>
          <w:p w14:paraId="542D3023" w14:textId="77777777" w:rsidR="004D1C93" w:rsidRDefault="004D1C93" w:rsidP="00B0051B"/>
        </w:tc>
        <w:tc>
          <w:tcPr>
            <w:tcW w:w="2700" w:type="dxa"/>
          </w:tcPr>
          <w:p w14:paraId="649C9AAF" w14:textId="77777777" w:rsidR="004D1C93" w:rsidRDefault="004D1C93" w:rsidP="00B0051B">
            <w:r>
              <w:t>12.2%</w:t>
            </w:r>
          </w:p>
        </w:tc>
      </w:tr>
    </w:tbl>
    <w:p w14:paraId="02BA365E" w14:textId="0B5414CE" w:rsidR="004D1C93" w:rsidRDefault="000D6268" w:rsidP="004D1C93">
      <w:pPr>
        <w:spacing w:after="0" w:line="240" w:lineRule="auto"/>
      </w:pPr>
      <w:r>
        <w:t xml:space="preserve"> </w:t>
      </w:r>
      <w:r w:rsidR="004D1C93">
        <w:t xml:space="preserve">*Source: 2018 Nursing Home Compare data </w:t>
      </w:r>
      <w:r>
        <w:t>for SNFs located in rural count</w:t>
      </w:r>
      <w:r w:rsidR="004D1C93">
        <w:t>ies as designated by HRSA</w:t>
      </w:r>
    </w:p>
    <w:p w14:paraId="0883EECB" w14:textId="28C81E1E" w:rsidR="000D6268" w:rsidRDefault="000D6268" w:rsidP="004D1C93">
      <w:pPr>
        <w:spacing w:after="0" w:line="240" w:lineRule="auto"/>
      </w:pPr>
      <w:r>
        <w:t xml:space="preserve">**Source: </w:t>
      </w:r>
      <w:bookmarkStart w:id="20" w:name="_Hlk25005380"/>
      <w:r w:rsidR="00A6597A">
        <w:t>A large ACO management firm</w:t>
      </w:r>
      <w:r w:rsidR="00383607">
        <w:t>,</w:t>
      </w:r>
      <w:r>
        <w:t xml:space="preserve"> </w:t>
      </w:r>
      <w:bookmarkEnd w:id="20"/>
      <w:r>
        <w:t>based on 2018 Medica</w:t>
      </w:r>
      <w:r w:rsidR="00115870">
        <w:t>re</w:t>
      </w:r>
      <w:r>
        <w:t xml:space="preserve"> claims data analysis for 521 SNFs participating in ACOs and located in rural counties as designated by HRSA</w:t>
      </w:r>
    </w:p>
    <w:p w14:paraId="430665DE" w14:textId="6EE8ECF7" w:rsidR="000D6268" w:rsidRDefault="000D6268">
      <w:pPr>
        <w:rPr>
          <w:b/>
          <w:u w:val="single"/>
        </w:rPr>
      </w:pPr>
      <w:r>
        <w:rPr>
          <w:b/>
          <w:u w:val="single"/>
        </w:rPr>
        <w:br w:type="page"/>
      </w:r>
    </w:p>
    <w:tbl>
      <w:tblPr>
        <w:tblStyle w:val="TableGrid"/>
        <w:tblW w:w="0" w:type="auto"/>
        <w:tblLook w:val="0420" w:firstRow="1" w:lastRow="0" w:firstColumn="0" w:lastColumn="0" w:noHBand="0" w:noVBand="1"/>
      </w:tblPr>
      <w:tblGrid>
        <w:gridCol w:w="3356"/>
        <w:gridCol w:w="3357"/>
        <w:gridCol w:w="3357"/>
      </w:tblGrid>
      <w:tr w:rsidR="00551369" w14:paraId="65D2CAD2" w14:textId="77777777" w:rsidTr="00551369">
        <w:tc>
          <w:tcPr>
            <w:tcW w:w="10070" w:type="dxa"/>
            <w:gridSpan w:val="3"/>
          </w:tcPr>
          <w:p w14:paraId="7930F277" w14:textId="25B87DF9" w:rsidR="00551369" w:rsidRPr="00551369" w:rsidRDefault="00551369" w:rsidP="00551369">
            <w:pPr>
              <w:rPr>
                <w:b/>
              </w:rPr>
            </w:pPr>
            <w:r>
              <w:rPr>
                <w:b/>
              </w:rPr>
              <w:t>Table 9. Comparison of Risk-Adjusted Functional Status Results for CAH Sw</w:t>
            </w:r>
            <w:r w:rsidR="00115870">
              <w:rPr>
                <w:b/>
              </w:rPr>
              <w:t>ing Beds and U.</w:t>
            </w:r>
            <w:r>
              <w:rPr>
                <w:b/>
              </w:rPr>
              <w:t>S. SNFs</w:t>
            </w:r>
          </w:p>
        </w:tc>
      </w:tr>
      <w:tr w:rsidR="00551369" w:rsidRPr="00551369" w14:paraId="39B58F34" w14:textId="77777777" w:rsidTr="00551369">
        <w:tc>
          <w:tcPr>
            <w:tcW w:w="3356" w:type="dxa"/>
          </w:tcPr>
          <w:p w14:paraId="17C9C083" w14:textId="77777777" w:rsidR="00551369" w:rsidRPr="00551369" w:rsidRDefault="00551369" w:rsidP="00551369"/>
        </w:tc>
        <w:tc>
          <w:tcPr>
            <w:tcW w:w="3357" w:type="dxa"/>
          </w:tcPr>
          <w:p w14:paraId="31EB2BB2" w14:textId="2380987B" w:rsidR="00551369" w:rsidRPr="00551369" w:rsidRDefault="00551369" w:rsidP="009674B8">
            <w:pPr>
              <w:jc w:val="center"/>
            </w:pPr>
            <w:r w:rsidRPr="00551369">
              <w:t xml:space="preserve">CAHs </w:t>
            </w:r>
            <w:r w:rsidR="009674B8">
              <w:t>in</w:t>
            </w:r>
            <w:r>
              <w:t xml:space="preserve"> sample</w:t>
            </w:r>
            <w:r w:rsidR="006B0559">
              <w:br/>
            </w:r>
            <w:r>
              <w:t>(n=124)</w:t>
            </w:r>
          </w:p>
        </w:tc>
        <w:tc>
          <w:tcPr>
            <w:tcW w:w="3357" w:type="dxa"/>
          </w:tcPr>
          <w:p w14:paraId="25F817CB" w14:textId="526C13E6" w:rsidR="00551369" w:rsidRPr="00551369" w:rsidRDefault="00551369" w:rsidP="006B0559">
            <w:pPr>
              <w:jc w:val="center"/>
            </w:pPr>
            <w:r>
              <w:t>U.S. SNFs*</w:t>
            </w:r>
            <w:r w:rsidR="006B0559">
              <w:br/>
            </w:r>
            <w:r>
              <w:t>(n=15,304)</w:t>
            </w:r>
          </w:p>
        </w:tc>
      </w:tr>
      <w:tr w:rsidR="00551369" w:rsidRPr="00551369" w14:paraId="3D35958D" w14:textId="77777777" w:rsidTr="00551369">
        <w:tc>
          <w:tcPr>
            <w:tcW w:w="3356" w:type="dxa"/>
          </w:tcPr>
          <w:p w14:paraId="05438A2C" w14:textId="2B1D0403" w:rsidR="00551369" w:rsidRPr="00551369" w:rsidRDefault="00551369" w:rsidP="00551369">
            <w:r>
              <w:t>Change in self-care score</w:t>
            </w:r>
          </w:p>
        </w:tc>
        <w:tc>
          <w:tcPr>
            <w:tcW w:w="3357" w:type="dxa"/>
          </w:tcPr>
          <w:p w14:paraId="0B186A04" w14:textId="1E8E6991" w:rsidR="00551369" w:rsidRPr="00551369" w:rsidRDefault="00551369" w:rsidP="00551369">
            <w:pPr>
              <w:jc w:val="center"/>
            </w:pPr>
            <w:r>
              <w:t>7.1</w:t>
            </w:r>
          </w:p>
        </w:tc>
        <w:tc>
          <w:tcPr>
            <w:tcW w:w="3357" w:type="dxa"/>
          </w:tcPr>
          <w:p w14:paraId="42A7DF7D" w14:textId="11D03F69" w:rsidR="00551369" w:rsidRPr="00551369" w:rsidRDefault="00551369" w:rsidP="00551369">
            <w:pPr>
              <w:jc w:val="center"/>
            </w:pPr>
            <w:r>
              <w:t>8.3</w:t>
            </w:r>
          </w:p>
        </w:tc>
      </w:tr>
      <w:tr w:rsidR="00551369" w:rsidRPr="00551369" w14:paraId="3C1EB8FE" w14:textId="77777777" w:rsidTr="00551369">
        <w:tc>
          <w:tcPr>
            <w:tcW w:w="3356" w:type="dxa"/>
          </w:tcPr>
          <w:p w14:paraId="2C69C1AB" w14:textId="2B44F827" w:rsidR="00551369" w:rsidRDefault="00551369" w:rsidP="00551369">
            <w:r>
              <w:t>Change in mobility score</w:t>
            </w:r>
          </w:p>
        </w:tc>
        <w:tc>
          <w:tcPr>
            <w:tcW w:w="3357" w:type="dxa"/>
          </w:tcPr>
          <w:p w14:paraId="70379A67" w14:textId="5F6DD564" w:rsidR="00551369" w:rsidRDefault="00551369" w:rsidP="00551369">
            <w:pPr>
              <w:jc w:val="center"/>
            </w:pPr>
            <w:r>
              <w:t>20.0</w:t>
            </w:r>
          </w:p>
        </w:tc>
        <w:tc>
          <w:tcPr>
            <w:tcW w:w="3357" w:type="dxa"/>
          </w:tcPr>
          <w:p w14:paraId="202B6718" w14:textId="2C9D1069" w:rsidR="00551369" w:rsidRDefault="00551369" w:rsidP="00551369">
            <w:pPr>
              <w:jc w:val="center"/>
            </w:pPr>
            <w:r>
              <w:t>21.3</w:t>
            </w:r>
          </w:p>
        </w:tc>
      </w:tr>
    </w:tbl>
    <w:p w14:paraId="78D7AD1F" w14:textId="6EE61DB4" w:rsidR="004D1C93" w:rsidRDefault="00551369" w:rsidP="00A6597A">
      <w:pPr>
        <w:spacing w:after="0" w:line="240" w:lineRule="auto"/>
      </w:pPr>
      <w:r w:rsidRPr="00551369">
        <w:t>*Source</w:t>
      </w:r>
      <w:r>
        <w:t xml:space="preserve">: </w:t>
      </w:r>
      <w:r w:rsidR="00A6597A">
        <w:t>CMS SNF Quality Reporting Program Measures and Technical Information Brief, 2018</w:t>
      </w:r>
      <w:r>
        <w:t xml:space="preserve"> data for all SNFs in the U.S.</w:t>
      </w:r>
    </w:p>
    <w:p w14:paraId="0B591B68" w14:textId="0FDB2825" w:rsidR="00E04ABD" w:rsidRDefault="00E04ABD">
      <w:r>
        <w:br w:type="page"/>
      </w:r>
    </w:p>
    <w:p w14:paraId="29A79F86" w14:textId="77777777" w:rsidR="00E04ABD" w:rsidRDefault="00E04ABD" w:rsidP="00E04ABD">
      <w:pPr>
        <w:spacing w:line="480" w:lineRule="auto"/>
        <w:rPr>
          <w:rFonts w:ascii="Arial" w:hAnsi="Arial" w:cs="Arial"/>
          <w:b/>
          <w:bCs/>
          <w:sz w:val="22"/>
          <w:szCs w:val="22"/>
        </w:rPr>
      </w:pPr>
      <w:r>
        <w:rPr>
          <w:rFonts w:ascii="Arial" w:hAnsi="Arial" w:cs="Arial"/>
          <w:b/>
          <w:bCs/>
          <w:sz w:val="22"/>
          <w:szCs w:val="22"/>
        </w:rPr>
        <w:t>Appendix 1  Risk Adjustment Methodology</w:t>
      </w:r>
    </w:p>
    <w:p w14:paraId="1E9FB172" w14:textId="77777777" w:rsidR="00E04ABD" w:rsidRDefault="00E04ABD" w:rsidP="00E04ABD">
      <w:pPr>
        <w:spacing w:line="480" w:lineRule="auto"/>
        <w:rPr>
          <w:rFonts w:ascii="Arial" w:hAnsi="Arial" w:cs="Arial"/>
          <w:sz w:val="22"/>
          <w:szCs w:val="22"/>
        </w:rPr>
      </w:pPr>
    </w:p>
    <w:p w14:paraId="6F672D1D" w14:textId="3C1104E4" w:rsidR="00E04ABD" w:rsidRPr="00BE26D0" w:rsidRDefault="00E04ABD" w:rsidP="00E04ABD">
      <w:pPr>
        <w:spacing w:line="480" w:lineRule="auto"/>
        <w:rPr>
          <w:rFonts w:ascii="Arial" w:hAnsi="Arial" w:cs="Arial"/>
          <w:sz w:val="22"/>
          <w:szCs w:val="22"/>
        </w:rPr>
      </w:pPr>
      <w:r>
        <w:rPr>
          <w:rFonts w:ascii="Arial" w:hAnsi="Arial" w:cs="Arial"/>
          <w:sz w:val="22"/>
          <w:szCs w:val="22"/>
        </w:rPr>
        <w:t xml:space="preserve">This appendix describes the details of the risk adjustment methods used for this study including the measures used, the criterial used to exclude swing bed patients from the study population, and the </w:t>
      </w:r>
      <w:r w:rsidRPr="00E965ED">
        <w:rPr>
          <w:rFonts w:ascii="Arial" w:hAnsi="Arial" w:cs="Arial"/>
          <w:sz w:val="22"/>
          <w:szCs w:val="22"/>
        </w:rPr>
        <w:t>four</w:t>
      </w:r>
      <w:r w:rsidR="00E965ED" w:rsidRPr="00E965ED">
        <w:rPr>
          <w:rFonts w:ascii="Arial" w:hAnsi="Arial" w:cs="Arial"/>
          <w:sz w:val="22"/>
          <w:szCs w:val="22"/>
        </w:rPr>
        <w:t>-</w:t>
      </w:r>
      <w:r w:rsidRPr="00E965ED">
        <w:rPr>
          <w:rFonts w:ascii="Arial" w:hAnsi="Arial" w:cs="Arial"/>
          <w:sz w:val="22"/>
          <w:szCs w:val="22"/>
        </w:rPr>
        <w:t>step process</w:t>
      </w:r>
      <w:r>
        <w:rPr>
          <w:rFonts w:ascii="Arial" w:hAnsi="Arial" w:cs="Arial"/>
          <w:sz w:val="22"/>
          <w:szCs w:val="22"/>
        </w:rPr>
        <w:t xml:space="preserve"> used for risk adjustment as well as the results of the estimated models.</w:t>
      </w:r>
    </w:p>
    <w:p w14:paraId="643AB568" w14:textId="77777777" w:rsidR="00E04ABD" w:rsidRDefault="00E04ABD" w:rsidP="00E04ABD">
      <w:pPr>
        <w:spacing w:line="480" w:lineRule="auto"/>
        <w:rPr>
          <w:rFonts w:ascii="Arial" w:hAnsi="Arial" w:cs="Arial"/>
          <w:sz w:val="22"/>
          <w:szCs w:val="22"/>
          <w:u w:val="single"/>
        </w:rPr>
      </w:pPr>
    </w:p>
    <w:p w14:paraId="3B4E4AFF" w14:textId="5BD47D4E" w:rsidR="00E04ABD" w:rsidRPr="006D3CDC" w:rsidRDefault="00E04ABD" w:rsidP="00E04ABD">
      <w:pPr>
        <w:spacing w:line="480" w:lineRule="auto"/>
        <w:rPr>
          <w:rFonts w:ascii="Arial" w:hAnsi="Arial" w:cs="Arial"/>
          <w:color w:val="000000"/>
          <w:sz w:val="22"/>
          <w:szCs w:val="22"/>
          <w:shd w:val="clear" w:color="auto" w:fill="FFFFFF"/>
        </w:rPr>
      </w:pPr>
      <w:r w:rsidRPr="006D3CDC">
        <w:rPr>
          <w:rFonts w:ascii="Arial" w:hAnsi="Arial" w:cs="Arial"/>
          <w:sz w:val="22"/>
          <w:szCs w:val="22"/>
          <w:u w:val="single"/>
        </w:rPr>
        <w:t>Measures</w:t>
      </w:r>
      <w:r w:rsidRPr="006D3CDC">
        <w:rPr>
          <w:rFonts w:ascii="Arial" w:hAnsi="Arial" w:cs="Arial"/>
          <w:sz w:val="22"/>
          <w:szCs w:val="22"/>
        </w:rPr>
        <w:t xml:space="preserve">: We assessed two </w:t>
      </w:r>
      <w:r>
        <w:rPr>
          <w:rFonts w:ascii="Arial" w:hAnsi="Arial" w:cs="Arial"/>
          <w:sz w:val="22"/>
          <w:szCs w:val="22"/>
        </w:rPr>
        <w:t xml:space="preserve">types of outcome measures for risk-adjustment. </w:t>
      </w:r>
      <w:r w:rsidRPr="006D3CDC">
        <w:rPr>
          <w:rFonts w:ascii="Arial" w:hAnsi="Arial" w:cs="Arial"/>
          <w:i/>
          <w:iCs/>
          <w:sz w:val="22"/>
          <w:szCs w:val="22"/>
        </w:rPr>
        <w:t>Functional status</w:t>
      </w:r>
      <w:r w:rsidRPr="006D3CDC">
        <w:rPr>
          <w:rFonts w:ascii="Arial" w:hAnsi="Arial" w:cs="Arial"/>
          <w:sz w:val="22"/>
          <w:szCs w:val="22"/>
        </w:rPr>
        <w:t xml:space="preserve"> includes self-care (NQF#2633) and mobility (NQF#2634)</w:t>
      </w:r>
      <w:r>
        <w:rPr>
          <w:rFonts w:ascii="Arial" w:hAnsi="Arial" w:cs="Arial"/>
          <w:sz w:val="22"/>
          <w:szCs w:val="22"/>
        </w:rPr>
        <w:t xml:space="preserve"> components. </w:t>
      </w:r>
      <w:bookmarkStart w:id="21" w:name="_Hlk25006044"/>
      <w:r>
        <w:rPr>
          <w:rFonts w:ascii="Arial" w:hAnsi="Arial" w:cs="Arial"/>
          <w:sz w:val="22"/>
          <w:szCs w:val="22"/>
        </w:rPr>
        <w:t>B</w:t>
      </w:r>
      <w:r w:rsidRPr="006D3CDC">
        <w:rPr>
          <w:rFonts w:ascii="Arial" w:hAnsi="Arial" w:cs="Arial"/>
          <w:sz w:val="22"/>
          <w:szCs w:val="22"/>
        </w:rPr>
        <w:t xml:space="preserve">oth were assessed using questionnaires </w:t>
      </w:r>
      <w:r w:rsidRPr="00383607">
        <w:rPr>
          <w:rFonts w:ascii="Arial" w:hAnsi="Arial" w:cs="Arial"/>
          <w:sz w:val="22"/>
          <w:szCs w:val="22"/>
        </w:rPr>
        <w:t>adapted</w:t>
      </w:r>
      <w:r w:rsidRPr="006D3CDC">
        <w:rPr>
          <w:rFonts w:ascii="Arial" w:hAnsi="Arial" w:cs="Arial"/>
          <w:sz w:val="22"/>
          <w:szCs w:val="22"/>
        </w:rPr>
        <w:t xml:space="preserve"> from Section GG</w:t>
      </w:r>
      <w:bookmarkEnd w:id="21"/>
      <w:r w:rsidRPr="006D3CDC">
        <w:rPr>
          <w:rFonts w:ascii="Arial" w:hAnsi="Arial" w:cs="Arial"/>
          <w:sz w:val="22"/>
          <w:szCs w:val="22"/>
        </w:rPr>
        <w:t xml:space="preserve"> (Functional Abilities and Goals) of the Minimum Data Set 3.0 Resident Assessment Instrument (MDS 3.0 RAI). Self-care w</w:t>
      </w:r>
      <w:r>
        <w:rPr>
          <w:rFonts w:ascii="Arial" w:hAnsi="Arial" w:cs="Arial"/>
          <w:sz w:val="22"/>
          <w:szCs w:val="22"/>
        </w:rPr>
        <w:t>as</w:t>
      </w:r>
      <w:r w:rsidRPr="006D3CDC">
        <w:rPr>
          <w:rFonts w:ascii="Arial" w:hAnsi="Arial" w:cs="Arial"/>
          <w:sz w:val="22"/>
          <w:szCs w:val="22"/>
        </w:rPr>
        <w:t xml:space="preserve"> based on seven question</w:t>
      </w:r>
      <w:r>
        <w:rPr>
          <w:rFonts w:ascii="Arial" w:hAnsi="Arial" w:cs="Arial"/>
          <w:sz w:val="22"/>
          <w:szCs w:val="22"/>
        </w:rPr>
        <w:t>s</w:t>
      </w:r>
      <w:r w:rsidRPr="006D3CDC">
        <w:rPr>
          <w:rFonts w:ascii="Arial" w:hAnsi="Arial" w:cs="Arial"/>
          <w:sz w:val="22"/>
          <w:szCs w:val="22"/>
        </w:rPr>
        <w:t>, assessing patient’s ability to perform activities related to eating, oral hygiene, toileting hygiene, showering/bathing, upper body dressing, lower body dressing, and putting on/taking off footwear. Mobility w</w:t>
      </w:r>
      <w:r>
        <w:rPr>
          <w:rFonts w:ascii="Arial" w:hAnsi="Arial" w:cs="Arial"/>
          <w:sz w:val="22"/>
          <w:szCs w:val="22"/>
        </w:rPr>
        <w:t>as</w:t>
      </w:r>
      <w:r w:rsidRPr="006D3CDC">
        <w:rPr>
          <w:rFonts w:ascii="Arial" w:hAnsi="Arial" w:cs="Arial"/>
          <w:sz w:val="22"/>
          <w:szCs w:val="22"/>
        </w:rPr>
        <w:t xml:space="preserve"> based on fifteen questions, assessing patient’s ability to roll left and right, sit</w:t>
      </w:r>
      <w:r>
        <w:rPr>
          <w:rFonts w:ascii="Arial" w:hAnsi="Arial" w:cs="Arial"/>
          <w:sz w:val="22"/>
          <w:szCs w:val="22"/>
        </w:rPr>
        <w:t>ting</w:t>
      </w:r>
      <w:r w:rsidRPr="006D3CDC">
        <w:rPr>
          <w:rFonts w:ascii="Arial" w:hAnsi="Arial" w:cs="Arial"/>
          <w:sz w:val="22"/>
          <w:szCs w:val="22"/>
        </w:rPr>
        <w:t xml:space="preserve"> to lying, lying to sitting on side of bed, sit to stand, chair/bed-to-chair transfer, car transfer, walk 10 feet, walk 50 feet with two turns, walk 150 feet, walk 10 feet on uneven surfaces, take one step and down a curb and/or up and down one step, go up and down four steps with or without a rail, go up and down 12 steps with or without a rail, and pick up </w:t>
      </w:r>
      <w:r>
        <w:rPr>
          <w:rFonts w:ascii="Arial" w:hAnsi="Arial" w:cs="Arial"/>
          <w:sz w:val="22"/>
          <w:szCs w:val="22"/>
        </w:rPr>
        <w:t xml:space="preserve">an </w:t>
      </w:r>
      <w:r w:rsidRPr="006D3CDC">
        <w:rPr>
          <w:rFonts w:ascii="Arial" w:hAnsi="Arial" w:cs="Arial"/>
          <w:sz w:val="22"/>
          <w:szCs w:val="22"/>
        </w:rPr>
        <w:t xml:space="preserve">object. </w:t>
      </w:r>
      <w:bookmarkStart w:id="22" w:name="_Hlk25006180"/>
      <w:r w:rsidR="004C6345" w:rsidRPr="004C6345">
        <w:rPr>
          <w:rFonts w:ascii="Arial" w:hAnsi="Arial" w:cs="Arial"/>
          <w:sz w:val="22"/>
          <w:szCs w:val="22"/>
        </w:rPr>
        <w:t>The interdisciplinary health team</w:t>
      </w:r>
      <w:r w:rsidRPr="004C6345">
        <w:rPr>
          <w:rFonts w:ascii="Arial" w:hAnsi="Arial" w:cs="Arial"/>
          <w:sz w:val="22"/>
          <w:szCs w:val="22"/>
        </w:rPr>
        <w:t xml:space="preserve"> may rate</w:t>
      </w:r>
      <w:r w:rsidRPr="006D3CDC">
        <w:rPr>
          <w:rFonts w:ascii="Arial" w:hAnsi="Arial" w:cs="Arial"/>
          <w:sz w:val="22"/>
          <w:szCs w:val="22"/>
        </w:rPr>
        <w:t xml:space="preserve"> </w:t>
      </w:r>
      <w:bookmarkEnd w:id="22"/>
      <w:r w:rsidRPr="006D3CDC">
        <w:rPr>
          <w:rFonts w:ascii="Arial" w:hAnsi="Arial" w:cs="Arial"/>
          <w:sz w:val="22"/>
          <w:szCs w:val="22"/>
        </w:rPr>
        <w:t>each question from one (dependent) to six (independent), with the total score of 7 to 42 for self</w:t>
      </w:r>
      <w:r>
        <w:rPr>
          <w:rFonts w:ascii="Arial" w:hAnsi="Arial" w:cs="Arial"/>
          <w:sz w:val="22"/>
          <w:szCs w:val="22"/>
        </w:rPr>
        <w:t>-</w:t>
      </w:r>
      <w:r w:rsidRPr="006D3CDC">
        <w:rPr>
          <w:rFonts w:ascii="Arial" w:hAnsi="Arial" w:cs="Arial"/>
          <w:sz w:val="22"/>
          <w:szCs w:val="22"/>
        </w:rPr>
        <w:t xml:space="preserve">care and 15 to 90 for mobility.  </w:t>
      </w:r>
      <w:r>
        <w:rPr>
          <w:rFonts w:ascii="Arial" w:hAnsi="Arial" w:cs="Arial"/>
          <w:sz w:val="22"/>
          <w:szCs w:val="22"/>
        </w:rPr>
        <w:t>H</w:t>
      </w:r>
      <w:r w:rsidRPr="006D3CDC">
        <w:rPr>
          <w:rFonts w:ascii="Arial" w:hAnsi="Arial" w:cs="Arial"/>
          <w:sz w:val="22"/>
          <w:szCs w:val="22"/>
        </w:rPr>
        <w:t xml:space="preserve">igher scores indicate increased independence. We measured functional status of all </w:t>
      </w:r>
      <w:r w:rsidR="00436120">
        <w:rPr>
          <w:rFonts w:ascii="Arial" w:hAnsi="Arial" w:cs="Arial"/>
          <w:sz w:val="22"/>
          <w:szCs w:val="22"/>
        </w:rPr>
        <w:t>swing bed</w:t>
      </w:r>
      <w:r w:rsidRPr="006D3CDC">
        <w:rPr>
          <w:rFonts w:ascii="Arial" w:hAnsi="Arial" w:cs="Arial"/>
          <w:sz w:val="22"/>
          <w:szCs w:val="22"/>
        </w:rPr>
        <w:t xml:space="preserve"> patients at admission but only </w:t>
      </w:r>
      <w:r>
        <w:rPr>
          <w:rFonts w:ascii="Arial" w:hAnsi="Arial" w:cs="Arial"/>
          <w:sz w:val="22"/>
          <w:szCs w:val="22"/>
        </w:rPr>
        <w:t>for</w:t>
      </w:r>
      <w:r w:rsidRPr="006D3CDC">
        <w:rPr>
          <w:rFonts w:ascii="Arial" w:hAnsi="Arial" w:cs="Arial"/>
          <w:sz w:val="22"/>
          <w:szCs w:val="22"/>
        </w:rPr>
        <w:t xml:space="preserve"> patients who did not have any of the exclusion criteria </w:t>
      </w:r>
      <w:r>
        <w:rPr>
          <w:rFonts w:ascii="Arial" w:hAnsi="Arial" w:cs="Arial"/>
          <w:sz w:val="22"/>
          <w:szCs w:val="22"/>
        </w:rPr>
        <w:t>listed</w:t>
      </w:r>
      <w:r w:rsidRPr="006D3CDC">
        <w:rPr>
          <w:rFonts w:ascii="Arial" w:hAnsi="Arial" w:cs="Arial"/>
          <w:sz w:val="22"/>
          <w:szCs w:val="22"/>
        </w:rPr>
        <w:t xml:space="preserve"> </w:t>
      </w:r>
      <w:r>
        <w:rPr>
          <w:rFonts w:ascii="Arial" w:hAnsi="Arial" w:cs="Arial"/>
          <w:sz w:val="22"/>
          <w:szCs w:val="22"/>
        </w:rPr>
        <w:t>below (Table A1). This is</w:t>
      </w:r>
      <w:r w:rsidRPr="006D3CDC">
        <w:rPr>
          <w:rFonts w:ascii="Arial" w:hAnsi="Arial" w:cs="Arial"/>
          <w:sz w:val="22"/>
          <w:szCs w:val="22"/>
        </w:rPr>
        <w:t xml:space="preserve"> similar </w:t>
      </w:r>
      <w:r>
        <w:rPr>
          <w:rFonts w:ascii="Arial" w:hAnsi="Arial" w:cs="Arial"/>
          <w:sz w:val="22"/>
          <w:szCs w:val="22"/>
        </w:rPr>
        <w:t xml:space="preserve">to the </w:t>
      </w:r>
      <w:r w:rsidRPr="006D3CDC">
        <w:rPr>
          <w:rFonts w:ascii="Arial" w:hAnsi="Arial" w:cs="Arial"/>
          <w:sz w:val="22"/>
          <w:szCs w:val="22"/>
        </w:rPr>
        <w:t xml:space="preserve">procedure </w:t>
      </w:r>
      <w:r>
        <w:rPr>
          <w:rFonts w:ascii="Arial" w:hAnsi="Arial" w:cs="Arial"/>
          <w:sz w:val="22"/>
          <w:szCs w:val="22"/>
        </w:rPr>
        <w:t>used</w:t>
      </w:r>
      <w:r w:rsidRPr="006D3CDC">
        <w:rPr>
          <w:rFonts w:ascii="Arial" w:hAnsi="Arial" w:cs="Arial"/>
          <w:sz w:val="22"/>
          <w:szCs w:val="22"/>
        </w:rPr>
        <w:t xml:space="preserve"> by </w:t>
      </w:r>
      <w:r>
        <w:rPr>
          <w:rFonts w:ascii="Arial" w:hAnsi="Arial" w:cs="Arial"/>
          <w:sz w:val="22"/>
          <w:szCs w:val="22"/>
        </w:rPr>
        <w:t>CMS</w:t>
      </w:r>
      <w:r w:rsidRPr="006D3CDC">
        <w:rPr>
          <w:rFonts w:ascii="Arial" w:hAnsi="Arial" w:cs="Arial"/>
          <w:sz w:val="22"/>
          <w:szCs w:val="22"/>
        </w:rPr>
        <w:t xml:space="preserve"> for collection and reporting of assessment data for patients </w:t>
      </w:r>
      <w:r>
        <w:rPr>
          <w:rFonts w:ascii="Arial" w:hAnsi="Arial" w:cs="Arial"/>
          <w:sz w:val="22"/>
          <w:szCs w:val="22"/>
        </w:rPr>
        <w:t xml:space="preserve">who </w:t>
      </w:r>
      <w:r w:rsidRPr="006D3CDC">
        <w:rPr>
          <w:rFonts w:ascii="Arial" w:hAnsi="Arial" w:cs="Arial"/>
          <w:sz w:val="22"/>
          <w:szCs w:val="22"/>
        </w:rPr>
        <w:t xml:space="preserve">received care at </w:t>
      </w:r>
      <w:r w:rsidRPr="006D3CDC">
        <w:rPr>
          <w:rFonts w:ascii="Arial" w:hAnsi="Arial" w:cs="Arial"/>
          <w:color w:val="000000"/>
          <w:sz w:val="22"/>
          <w:szCs w:val="22"/>
          <w:shd w:val="clear" w:color="auto" w:fill="FFFFFF"/>
        </w:rPr>
        <w:t xml:space="preserve">long-term care hospitals (LTCHs), </w:t>
      </w:r>
      <w:r>
        <w:rPr>
          <w:rFonts w:ascii="Arial" w:hAnsi="Arial" w:cs="Arial"/>
          <w:color w:val="000000"/>
          <w:sz w:val="22"/>
          <w:szCs w:val="22"/>
          <w:shd w:val="clear" w:color="auto" w:fill="FFFFFF"/>
        </w:rPr>
        <w:t>S</w:t>
      </w:r>
      <w:r w:rsidRPr="006D3CDC">
        <w:rPr>
          <w:rFonts w:ascii="Arial" w:hAnsi="Arial" w:cs="Arial"/>
          <w:color w:val="000000"/>
          <w:sz w:val="22"/>
          <w:szCs w:val="22"/>
          <w:shd w:val="clear" w:color="auto" w:fill="FFFFFF"/>
        </w:rPr>
        <w:t>killed Nursing Facilities (SNFs), home health agencies (HHAs), and inpatient rehabilitatio</w:t>
      </w:r>
      <w:r>
        <w:rPr>
          <w:rFonts w:ascii="Arial" w:hAnsi="Arial" w:cs="Arial"/>
          <w:color w:val="000000"/>
          <w:sz w:val="22"/>
          <w:szCs w:val="22"/>
          <w:shd w:val="clear" w:color="auto" w:fill="FFFFFF"/>
        </w:rPr>
        <w:t>n facilities (IRFs).</w:t>
      </w:r>
    </w:p>
    <w:p w14:paraId="459FE7E9" w14:textId="77777777" w:rsidR="00E04ABD" w:rsidRDefault="00E04ABD" w:rsidP="00E04ABD">
      <w:pPr>
        <w:spacing w:line="480" w:lineRule="auto"/>
        <w:rPr>
          <w:rFonts w:ascii="Arial" w:hAnsi="Arial" w:cs="Arial"/>
          <w:i/>
          <w:iCs/>
          <w:sz w:val="22"/>
          <w:szCs w:val="22"/>
        </w:rPr>
      </w:pPr>
    </w:p>
    <w:p w14:paraId="2290B63B" w14:textId="065528AE" w:rsidR="00E04ABD" w:rsidRPr="002D126C" w:rsidRDefault="00E04ABD" w:rsidP="00E04ABD">
      <w:pPr>
        <w:spacing w:line="480" w:lineRule="auto"/>
        <w:rPr>
          <w:rFonts w:ascii="Arial" w:hAnsi="Arial" w:cs="Arial"/>
          <w:color w:val="000000"/>
          <w:sz w:val="22"/>
          <w:szCs w:val="22"/>
          <w:shd w:val="clear" w:color="auto" w:fill="FFFFFF"/>
        </w:rPr>
      </w:pPr>
      <w:r w:rsidRPr="006D3CDC">
        <w:rPr>
          <w:rFonts w:ascii="Arial" w:hAnsi="Arial" w:cs="Arial"/>
          <w:i/>
          <w:iCs/>
          <w:sz w:val="22"/>
          <w:szCs w:val="22"/>
        </w:rPr>
        <w:t>Readmission</w:t>
      </w:r>
      <w:r w:rsidRPr="006D3CDC">
        <w:rPr>
          <w:rFonts w:ascii="Arial" w:hAnsi="Arial" w:cs="Arial"/>
          <w:sz w:val="22"/>
          <w:szCs w:val="22"/>
        </w:rPr>
        <w:t xml:space="preserve"> w</w:t>
      </w:r>
      <w:r>
        <w:rPr>
          <w:rFonts w:ascii="Arial" w:hAnsi="Arial" w:cs="Arial"/>
          <w:sz w:val="22"/>
          <w:szCs w:val="22"/>
        </w:rPr>
        <w:t>as</w:t>
      </w:r>
      <w:r w:rsidRPr="006D3CDC">
        <w:rPr>
          <w:rFonts w:ascii="Arial" w:hAnsi="Arial" w:cs="Arial"/>
          <w:sz w:val="22"/>
          <w:szCs w:val="22"/>
        </w:rPr>
        <w:t xml:space="preserve"> assessed </w:t>
      </w:r>
      <w:r>
        <w:rPr>
          <w:rFonts w:ascii="Arial" w:hAnsi="Arial" w:cs="Arial"/>
          <w:sz w:val="22"/>
          <w:szCs w:val="22"/>
        </w:rPr>
        <w:t xml:space="preserve">for the </w:t>
      </w:r>
      <w:r w:rsidR="004C6345" w:rsidRPr="004C6345">
        <w:rPr>
          <w:rFonts w:ascii="Arial" w:hAnsi="Arial" w:cs="Arial"/>
          <w:sz w:val="22"/>
          <w:szCs w:val="22"/>
        </w:rPr>
        <w:t>30-</w:t>
      </w:r>
      <w:r w:rsidRPr="004C6345">
        <w:rPr>
          <w:rFonts w:ascii="Arial" w:hAnsi="Arial" w:cs="Arial"/>
          <w:sz w:val="22"/>
          <w:szCs w:val="22"/>
        </w:rPr>
        <w:t>day</w:t>
      </w:r>
      <w:r w:rsidRPr="006D3CDC">
        <w:rPr>
          <w:rFonts w:ascii="Arial" w:hAnsi="Arial" w:cs="Arial"/>
          <w:sz w:val="22"/>
          <w:szCs w:val="22"/>
        </w:rPr>
        <w:t xml:space="preserve"> </w:t>
      </w:r>
      <w:r>
        <w:rPr>
          <w:rFonts w:ascii="Arial" w:hAnsi="Arial" w:cs="Arial"/>
          <w:sz w:val="22"/>
          <w:szCs w:val="22"/>
        </w:rPr>
        <w:t xml:space="preserve">period </w:t>
      </w:r>
      <w:r w:rsidRPr="006D3CDC">
        <w:rPr>
          <w:rFonts w:ascii="Arial" w:hAnsi="Arial" w:cs="Arial"/>
          <w:sz w:val="22"/>
          <w:szCs w:val="22"/>
        </w:rPr>
        <w:t xml:space="preserve">after patients were discharged from the swing bed. Patients who were readmitted for acute or </w:t>
      </w:r>
      <w:r w:rsidR="00436120">
        <w:rPr>
          <w:rFonts w:ascii="Arial" w:hAnsi="Arial" w:cs="Arial"/>
          <w:sz w:val="22"/>
          <w:szCs w:val="22"/>
        </w:rPr>
        <w:t>swing bed</w:t>
      </w:r>
      <w:r w:rsidRPr="006D3CDC">
        <w:rPr>
          <w:rFonts w:ascii="Arial" w:hAnsi="Arial" w:cs="Arial"/>
          <w:sz w:val="22"/>
          <w:szCs w:val="22"/>
        </w:rPr>
        <w:t xml:space="preserve"> care at the same or </w:t>
      </w:r>
      <w:r>
        <w:rPr>
          <w:rFonts w:ascii="Arial" w:hAnsi="Arial" w:cs="Arial"/>
          <w:sz w:val="22"/>
          <w:szCs w:val="22"/>
        </w:rPr>
        <w:t xml:space="preserve">a </w:t>
      </w:r>
      <w:r w:rsidRPr="006D3CDC">
        <w:rPr>
          <w:rFonts w:ascii="Arial" w:hAnsi="Arial" w:cs="Arial"/>
          <w:sz w:val="22"/>
          <w:szCs w:val="22"/>
        </w:rPr>
        <w:t xml:space="preserve">different facility were considered </w:t>
      </w:r>
      <w:r>
        <w:rPr>
          <w:rFonts w:ascii="Arial" w:hAnsi="Arial" w:cs="Arial"/>
          <w:sz w:val="22"/>
          <w:szCs w:val="22"/>
        </w:rPr>
        <w:t>to be readmitted</w:t>
      </w:r>
      <w:r w:rsidRPr="006D3CDC">
        <w:rPr>
          <w:rFonts w:ascii="Arial" w:hAnsi="Arial" w:cs="Arial"/>
          <w:sz w:val="22"/>
          <w:szCs w:val="22"/>
        </w:rPr>
        <w:t xml:space="preserve">. </w:t>
      </w:r>
      <w:r>
        <w:rPr>
          <w:rFonts w:ascii="Arial" w:hAnsi="Arial" w:cs="Arial"/>
          <w:sz w:val="22"/>
          <w:szCs w:val="22"/>
        </w:rPr>
        <w:t>O</w:t>
      </w:r>
      <w:r w:rsidRPr="006D3CDC">
        <w:rPr>
          <w:rFonts w:ascii="Arial" w:hAnsi="Arial" w:cs="Arial"/>
          <w:sz w:val="22"/>
          <w:szCs w:val="22"/>
        </w:rPr>
        <w:t xml:space="preserve">f the total of 8,420 CAH </w:t>
      </w:r>
      <w:r w:rsidR="00436120">
        <w:rPr>
          <w:rFonts w:ascii="Arial" w:hAnsi="Arial" w:cs="Arial"/>
          <w:sz w:val="22"/>
          <w:szCs w:val="22"/>
        </w:rPr>
        <w:t>swing bed</w:t>
      </w:r>
      <w:r w:rsidRPr="006D3CDC">
        <w:rPr>
          <w:rFonts w:ascii="Arial" w:hAnsi="Arial" w:cs="Arial"/>
          <w:sz w:val="22"/>
          <w:szCs w:val="22"/>
        </w:rPr>
        <w:t xml:space="preserve"> patients in </w:t>
      </w:r>
      <w:r>
        <w:rPr>
          <w:rFonts w:ascii="Arial" w:hAnsi="Arial" w:cs="Arial"/>
          <w:sz w:val="22"/>
          <w:szCs w:val="22"/>
        </w:rPr>
        <w:t>the</w:t>
      </w:r>
      <w:r w:rsidRPr="006D3CDC">
        <w:rPr>
          <w:rFonts w:ascii="Arial" w:hAnsi="Arial" w:cs="Arial"/>
          <w:sz w:val="22"/>
          <w:szCs w:val="22"/>
        </w:rPr>
        <w:t xml:space="preserve"> study, 1</w:t>
      </w:r>
      <w:r>
        <w:rPr>
          <w:rFonts w:ascii="Arial" w:hAnsi="Arial" w:cs="Arial"/>
          <w:sz w:val="22"/>
          <w:szCs w:val="22"/>
        </w:rPr>
        <w:t>,637 (19.4%) had one of</w:t>
      </w:r>
      <w:r w:rsidRPr="006D3CDC">
        <w:rPr>
          <w:rFonts w:ascii="Arial" w:hAnsi="Arial" w:cs="Arial"/>
          <w:sz w:val="22"/>
          <w:szCs w:val="22"/>
        </w:rPr>
        <w:t xml:space="preserve"> </w:t>
      </w:r>
      <w:r>
        <w:rPr>
          <w:rFonts w:ascii="Arial" w:hAnsi="Arial" w:cs="Arial"/>
          <w:sz w:val="22"/>
          <w:szCs w:val="22"/>
        </w:rPr>
        <w:t>the exclusion criteria and were not followed up.</w:t>
      </w:r>
    </w:p>
    <w:p w14:paraId="24ABAE15" w14:textId="695D91FE" w:rsidR="00E04ABD" w:rsidRPr="006D3CDC" w:rsidRDefault="00E04ABD" w:rsidP="00E04ABD">
      <w:pPr>
        <w:spacing w:line="480" w:lineRule="auto"/>
        <w:rPr>
          <w:rFonts w:ascii="Arial" w:hAnsi="Arial" w:cs="Arial"/>
          <w:sz w:val="22"/>
          <w:szCs w:val="22"/>
        </w:rPr>
      </w:pPr>
      <w:r w:rsidRPr="006D3CDC">
        <w:rPr>
          <w:rFonts w:ascii="Arial" w:hAnsi="Arial" w:cs="Arial"/>
          <w:sz w:val="22"/>
          <w:szCs w:val="22"/>
          <w:u w:val="single"/>
        </w:rPr>
        <w:t>Statistical Analysis</w:t>
      </w:r>
      <w:r w:rsidRPr="006D3CDC">
        <w:rPr>
          <w:rFonts w:ascii="Arial" w:hAnsi="Arial" w:cs="Arial"/>
          <w:sz w:val="22"/>
          <w:szCs w:val="22"/>
        </w:rPr>
        <w:t xml:space="preserve">: </w:t>
      </w:r>
      <w:r>
        <w:rPr>
          <w:rFonts w:ascii="Arial" w:hAnsi="Arial" w:cs="Arial"/>
          <w:sz w:val="22"/>
          <w:szCs w:val="22"/>
        </w:rPr>
        <w:t>Descriptive analyses</w:t>
      </w:r>
      <w:r w:rsidRPr="006D3CDC">
        <w:rPr>
          <w:rFonts w:ascii="Arial" w:hAnsi="Arial" w:cs="Arial"/>
          <w:sz w:val="22"/>
          <w:szCs w:val="22"/>
        </w:rPr>
        <w:t xml:space="preserve"> assess</w:t>
      </w:r>
      <w:r>
        <w:rPr>
          <w:rFonts w:ascii="Arial" w:hAnsi="Arial" w:cs="Arial"/>
          <w:sz w:val="22"/>
          <w:szCs w:val="22"/>
        </w:rPr>
        <w:t>ed</w:t>
      </w:r>
      <w:r w:rsidRPr="006D3CDC">
        <w:rPr>
          <w:rFonts w:ascii="Arial" w:hAnsi="Arial" w:cs="Arial"/>
          <w:sz w:val="22"/>
          <w:szCs w:val="22"/>
        </w:rPr>
        <w:t xml:space="preserve"> distributions of patient’s demographic characteristics, residence and health status prior to the CAH </w:t>
      </w:r>
      <w:r w:rsidR="00436120">
        <w:rPr>
          <w:rFonts w:ascii="Arial" w:hAnsi="Arial" w:cs="Arial"/>
          <w:sz w:val="22"/>
          <w:szCs w:val="22"/>
        </w:rPr>
        <w:t>swing bed</w:t>
      </w:r>
      <w:r w:rsidRPr="006D3CDC">
        <w:rPr>
          <w:rFonts w:ascii="Arial" w:hAnsi="Arial" w:cs="Arial"/>
          <w:sz w:val="22"/>
          <w:szCs w:val="22"/>
        </w:rPr>
        <w:t xml:space="preserve"> admission, physical and cognitive status at admission, and disposition status at discharge as well as 30</w:t>
      </w:r>
      <w:r>
        <w:rPr>
          <w:rFonts w:ascii="Arial" w:hAnsi="Arial" w:cs="Arial"/>
          <w:sz w:val="22"/>
          <w:szCs w:val="22"/>
        </w:rPr>
        <w:t xml:space="preserve"> days after discharge follow-up status</w:t>
      </w:r>
      <w:r w:rsidRPr="006D3CDC">
        <w:rPr>
          <w:rFonts w:ascii="Arial" w:hAnsi="Arial" w:cs="Arial"/>
          <w:sz w:val="22"/>
          <w:szCs w:val="22"/>
        </w:rPr>
        <w:t>. Mean, median, standard deviation, and quartile</w:t>
      </w:r>
      <w:r>
        <w:rPr>
          <w:rFonts w:ascii="Arial" w:hAnsi="Arial" w:cs="Arial"/>
          <w:sz w:val="22"/>
          <w:szCs w:val="22"/>
        </w:rPr>
        <w:t>s</w:t>
      </w:r>
      <w:r w:rsidRPr="006D3CDC">
        <w:rPr>
          <w:rFonts w:ascii="Arial" w:hAnsi="Arial" w:cs="Arial"/>
          <w:sz w:val="22"/>
          <w:szCs w:val="22"/>
        </w:rPr>
        <w:t xml:space="preserve"> were calculated to summarize data measured on a continuous scale (e.g., length of stay, summary score of the Brief Interview for Mental Status (BIMS) and functional status), while frequencies were calculated for categorical measures (e.g., residence prior to CAH </w:t>
      </w:r>
      <w:r w:rsidR="00436120">
        <w:rPr>
          <w:rFonts w:ascii="Arial" w:hAnsi="Arial" w:cs="Arial"/>
          <w:sz w:val="22"/>
          <w:szCs w:val="22"/>
        </w:rPr>
        <w:t>swing bed</w:t>
      </w:r>
      <w:r w:rsidRPr="006D3CDC">
        <w:rPr>
          <w:rFonts w:ascii="Arial" w:hAnsi="Arial" w:cs="Arial"/>
          <w:sz w:val="22"/>
          <w:szCs w:val="22"/>
        </w:rPr>
        <w:t xml:space="preserve"> admission, 30-day follow-u</w:t>
      </w:r>
      <w:r>
        <w:rPr>
          <w:rFonts w:ascii="Arial" w:hAnsi="Arial" w:cs="Arial"/>
          <w:sz w:val="22"/>
          <w:szCs w:val="22"/>
        </w:rPr>
        <w:t>p status</w:t>
      </w:r>
      <w:r w:rsidRPr="006D3CDC">
        <w:rPr>
          <w:rFonts w:ascii="Arial" w:hAnsi="Arial" w:cs="Arial"/>
          <w:sz w:val="22"/>
          <w:szCs w:val="22"/>
        </w:rPr>
        <w:t>, etc.).</w:t>
      </w:r>
    </w:p>
    <w:p w14:paraId="69421B64" w14:textId="77777777" w:rsidR="00E04ABD" w:rsidRDefault="00E04ABD" w:rsidP="00E04ABD">
      <w:pPr>
        <w:spacing w:line="480" w:lineRule="auto"/>
        <w:rPr>
          <w:rFonts w:ascii="Arial" w:hAnsi="Arial" w:cs="Arial"/>
          <w:i/>
          <w:iCs/>
          <w:sz w:val="22"/>
          <w:szCs w:val="22"/>
        </w:rPr>
      </w:pPr>
    </w:p>
    <w:p w14:paraId="2821BB46" w14:textId="77777777"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Risk adjustment</w:t>
      </w:r>
      <w:r>
        <w:rPr>
          <w:rFonts w:ascii="Arial" w:hAnsi="Arial" w:cs="Arial"/>
          <w:sz w:val="22"/>
          <w:szCs w:val="22"/>
        </w:rPr>
        <w:t>: M</w:t>
      </w:r>
      <w:r w:rsidRPr="006D3CDC">
        <w:rPr>
          <w:rFonts w:ascii="Arial" w:hAnsi="Arial" w:cs="Arial"/>
          <w:sz w:val="22"/>
          <w:szCs w:val="22"/>
        </w:rPr>
        <w:t>ean observed changes in</w:t>
      </w:r>
      <w:r>
        <w:rPr>
          <w:rFonts w:ascii="Arial" w:hAnsi="Arial" w:cs="Arial"/>
          <w:sz w:val="22"/>
          <w:szCs w:val="22"/>
        </w:rPr>
        <w:t xml:space="preserve"> patient</w:t>
      </w:r>
      <w:r w:rsidRPr="006D3CDC">
        <w:rPr>
          <w:rFonts w:ascii="Arial" w:hAnsi="Arial" w:cs="Arial"/>
          <w:sz w:val="22"/>
          <w:szCs w:val="22"/>
        </w:rPr>
        <w:t xml:space="preserve"> functional status and readmission rates </w:t>
      </w:r>
      <w:r>
        <w:rPr>
          <w:rFonts w:ascii="Arial" w:hAnsi="Arial" w:cs="Arial"/>
          <w:sz w:val="22"/>
          <w:szCs w:val="22"/>
        </w:rPr>
        <w:t xml:space="preserve">were calculated </w:t>
      </w:r>
      <w:r w:rsidRPr="006D3CDC">
        <w:rPr>
          <w:rFonts w:ascii="Arial" w:hAnsi="Arial" w:cs="Arial"/>
          <w:sz w:val="22"/>
          <w:szCs w:val="22"/>
        </w:rPr>
        <w:t xml:space="preserve">for each CAH. Prior literature suggests that the disparity in these measures across facilities can be partially attributed to differences in the patient case mix and that risk adjustment is required to allow for fair comparisons of quality measures </w:t>
      </w:r>
      <w:r>
        <w:rPr>
          <w:rFonts w:ascii="Arial" w:hAnsi="Arial" w:cs="Arial"/>
          <w:sz w:val="22"/>
          <w:szCs w:val="22"/>
        </w:rPr>
        <w:t>across</w:t>
      </w:r>
      <w:r w:rsidRPr="006D3CDC">
        <w:rPr>
          <w:rFonts w:ascii="Arial" w:hAnsi="Arial" w:cs="Arial"/>
          <w:sz w:val="22"/>
          <w:szCs w:val="22"/>
        </w:rPr>
        <w:t xml:space="preserve"> facilities.</w:t>
      </w:r>
      <w:r w:rsidRPr="006D3CDC">
        <w:rPr>
          <w:rFonts w:ascii="Arial" w:hAnsi="Arial" w:cs="Arial"/>
          <w:sz w:val="22"/>
          <w:szCs w:val="22"/>
        </w:rPr>
        <w:fldChar w:fldCharType="begin" w:fldLock="1"/>
      </w:r>
      <w:r>
        <w:rPr>
          <w:rFonts w:ascii="Arial" w:hAnsi="Arial" w:cs="Arial"/>
          <w:sz w:val="22"/>
          <w:szCs w:val="22"/>
        </w:rPr>
        <w:instrText>ADDIN CSL_CITATION {"citationItems":[{"id":"ITEM-1","itemData":{"DOI":"10.1016/j.apmr.2017.02.023","ISSN":"00039993","author":[{"dropping-particle":"","family":"Pardasaney","given":"Poonam K.","non-dropping-particle":"","parse-names":false,"suffix":""},{"dropping-particle":"","family":"Deutsch","given":"Anne","non-dropping-particle":"","parse-names":false,"suffix":""},{"dropping-particle":"","family":"Iriondo-Perez","given":"Jeniffer","non-dropping-particle":"","parse-names":false,"suffix":""},{"dropping-particle":"","family":"Ingber","given":"Melvin J.","non-dropping-particle":"","parse-names":false,"suffix":""},{"dropping-particle":"","family":"McMullen","given":"Tara","non-dropping-particle":"","parse-names":false,"suffix":""}],"container-title":"Archives of Physical Medicine and Rehabilitation","id":"ITEM-1","issue":"6","issued":{"date-parts":[["2018","6"]]},"page":"1035-1041","title":"Measuring Inpatient Rehabilitation Facility Quality of Care: Discharge Self-Care Functional Status Quality Measure","type":"article-journal","volume":"99"},"uris":["http://www.mendeley.com/documents/?uuid=e6b26538-2d67-36bf-bb0c-d96d2d307898"]},{"id":"ITEM-2","itemData":{"DOI":"10.1016/j.apmr.2017.07.008","ISSN":"1532821X","PMID":"28802813","abstract":"Objective: To examine facility-level rates of all-cause, unplanned hospital readmissions for 30 days after discharge from inpatient rehabilitation facilities (IRFs). Design: Observational design. Setting: Inpatient rehabilitation facilities. Participants: Medicare fee-for-service beneficiaries (N=567,850 patient-stays). Interventions: Not applicable. Main Outcome Measures: The outcome is all-cause, unplanned hospital readmission rates for IRFs. We adapted previous risk-adjustment and statistical approaches used for acute care hospitals to develop a hierarchical logistic regression model that estimates a risk-standardized readmission rate for each IRF. The IRF risk-adjustment model takes into account patient demographic characteristics, hospital diagnoses and procedure codes, function at IRF admission, comorbidities, and prior hospital utilization. We presented national distributions of observed and risk-standardized readmission rates and estimated confidence intervals to make statistical comparisons relative to the national mean. We also analyzed the number of days from IRF discharge until hospital readmission. Results: The national observed hospital readmission rate by 30 days postdischarge from IRFs was 13.1%. The mean unadjusted readmission rate for IRFs was 12.4%±3.5%, and the mean risk-standardized readmission rate was 13.1%±0.8%. The C-statistic for our risk-adjustment model was.70. Nearly three-quarters of IRFs (73.4%) had readmission rates that were significantly different from the mean. The mean number of days to readmission was 13.0±8.6 days and varied by rehabilitation diagnosis. Conclusions: Our results demonstrate the ability to assess 30-day, all-cause hospital readmission rates postdischarge from IRFs and the ability to discriminate between IRFs with higher- and lower-than-average hospital readmission rates.","author":[{"dropping-particle":"","family":"Daras","given":"Laura Coots","non-dropping-particle":"","parse-names":false,"suffix":""},{"dropping-particle":"","family":"Ingber","given":"Melvin J.","non-dropping-particle":"","parse-names":false,"suffix":""},{"dropping-particle":"","family":"Carichner","given":"Jessica","non-dropping-particle":"","parse-names":false,"suffix":""},{"dropping-particle":"","family":"Barch","given":"Daniel","non-dropping-particle":"","parse-names":false,"suffix":""},{"dropping-particle":"","family":"Deutsch","given":"Anne","non-dropping-particle":"","parse-names":false,"suffix":""},{"dropping-particle":"","family":"Smith","given":"Laura M.","non-dropping-particle":"","parse-names":false,"suffix":""},{"dropping-particle":"","family":"Levitt","given":"Alan","non-dropping-particle":"","parse-names":false,"suffix":""},{"dropping-particle":"","family":"Andress","given":"Joel","non-dropping-particle":"","parse-names":false,"suffix":""}],"container-title":"Archives of Physical Medicine and Rehabilitation","id":"ITEM-2","issue":"6","issued":{"date-parts":[["2018"]]},"page":"1049-1059","publisher":"Elsevier Inc","title":"Evaluating Hospital Readmission Rates After Discharge From Inpatient Rehabilitation","type":"article-journal","volume":"99"},"uris":["http://www.mendeley.com/documents/?uuid=65a72039-1850-4d19-ae53-1dc62ed7aff6"]},{"id":"ITEM-3","itemData":{"DOI":"10.1097/MLR.0000000000000736 LK  - http://limo.libis.be/resolver?&amp;sid=EMBASE&amp;issn=15371948&amp;id=doi:10.1097%2FMLR.0000000000000736&amp;atitle=Development+of+a+Risk-adjustment+Model+for+the+Inpatient+Rehabilitation+Facility+Discharge+Self-care+Functional+Status+Quality+Measure&amp;stitle=Med.+Care&amp;title=Medical+Care&amp;volume=55&amp;issue=7&amp;spage=706&amp;epage=715&amp;aulast=Deutsch&amp;aufirst=Anne&amp;auinit=A.&amp;aufull=Deutsch+A.&amp;coden=MDLCB&amp;isbn=&amp;pages=706-715&amp;date=2017&amp;auinit1=A&amp;auinitm=","ISSN":"1537-1948","abstract":"Background: Functional status measures are important patient-centered indicators of inpatient rehabilitation facility (IRF) quality of care. We developed a risk-adjusted self-care functional status measure for the IRF Quality Reporting Program. This paper describes the development and performance of the measure's risk-adjustment model. Methods: Our sample included IRF Medicare fee-for-service patients from the Centers for Medicare &amp; Medicaid Services' 2008-2010 Post-Acute Care Payment Reform Demonstration. Data sources included the Continuity Assessment Record and Evaluation Item Set, IRF-Patient Assessment Instrument, and Medicare claims. Self-care scores were based on 7 Continuity Assessment Record and Evaluation items. The model was developed using discharge self-care score as the dependent variable, and generalized linear modeling with generalized estimation equation to account for patient characteristics and clustering within IRFs. Patient demographics, clinical characteristics at IRF admission, and clinical characteristics related to the recent hospitalization were tested as risk adjusters. Results: A total of 4769 patient stays from 38 IRFs were included. Approximately 57% of the sample was female; 38.4%, 75-84 years; and 31.0%, 65-74 years. The final model, containing 77 risk adjusters, explained 53.7% of variance in discharge self-care scores (P&lt;0.0001). Admission self-care function was the strongest predictor, followed by admission cognitive function and IRF primary diagnosis group. The range of expected and observed scores overlapped very well, with little bias across the range of predicted self-care functioning. Conclusions: Our risk-adjustment model demonstrated strong validity for predicting discharge self-care scores. Although the model needs validation with national data, it represents an important first step in evaluation of IRF functional outcomes.","author":[{"dropping-particle":"","family":"A.","given":"Deutsch","non-dropping-particle":"","parse-names":false,"suffix":""},{"dropping-particle":"","family":"P.","given":"Pardasaney","non-dropping-particle":"","parse-names":false,"suffix":""},{"dropping-particle":"","family":"J.","given":"Iriondo-Perez","non-dropping-particle":"","parse-names":false,"suffix":""},{"dropping-particle":"","family":"M.J.","given":"Ingber","non-dropping-particle":"","parse-names":false,"suffix":""},{"dropping-particle":"","family":"K.A.","given":"Porter","non-dropping-particle":"","parse-names":false,"suffix":""},{"dropping-particle":"","family":"T.","given":"McMullen","non-dropping-particle":"","parse-names":false,"suffix":""}],"container-title":"Medical Care","id":"ITEM-3","issue":"7","issued":{"date-parts":[["2017"]]},"page":"706-715","title":"Development of a Risk-adjustment Model for the Inpatient Rehabilitation Facility Discharge Self-care Functional Status Quality Measure","type":"article-journal","volume":"55"},"uris":["http://www.mendeley.com/documents/?uuid=c472da97-24b8-471a-88a2-fcf02a3c60f4"]}],"mendeley":{"formattedCitation":"&lt;sup&gt;1–3&lt;/sup&gt;","plainTextFormattedCitation":"1–3","previouslyFormattedCitation":"&lt;sup&gt;1–3&lt;/sup&gt;"},"properties":{"noteIndex":0},"schema":"https://github.com/citation-style-language/schema/raw/master/csl-citation.json"}</w:instrText>
      </w:r>
      <w:r w:rsidRPr="006D3CDC">
        <w:rPr>
          <w:rFonts w:ascii="Arial" w:hAnsi="Arial" w:cs="Arial"/>
          <w:sz w:val="22"/>
          <w:szCs w:val="22"/>
        </w:rPr>
        <w:fldChar w:fldCharType="separate"/>
      </w:r>
      <w:r w:rsidRPr="006D3CDC">
        <w:rPr>
          <w:rFonts w:ascii="Arial" w:hAnsi="Arial" w:cs="Arial"/>
          <w:noProof/>
          <w:sz w:val="22"/>
          <w:szCs w:val="22"/>
          <w:vertAlign w:val="superscript"/>
        </w:rPr>
        <w:t>1–3</w:t>
      </w:r>
      <w:r w:rsidRPr="006D3CDC">
        <w:rPr>
          <w:rFonts w:ascii="Arial" w:hAnsi="Arial" w:cs="Arial"/>
          <w:sz w:val="22"/>
          <w:szCs w:val="22"/>
        </w:rPr>
        <w:fldChar w:fldCharType="end"/>
      </w:r>
      <w:r w:rsidRPr="006D3CDC">
        <w:rPr>
          <w:rFonts w:ascii="Arial" w:hAnsi="Arial" w:cs="Arial"/>
          <w:sz w:val="22"/>
          <w:szCs w:val="22"/>
        </w:rPr>
        <w:t xml:space="preserve"> </w:t>
      </w:r>
      <w:r>
        <w:rPr>
          <w:rFonts w:ascii="Arial" w:hAnsi="Arial" w:cs="Arial"/>
          <w:sz w:val="22"/>
          <w:szCs w:val="22"/>
        </w:rPr>
        <w:t>W</w:t>
      </w:r>
      <w:r w:rsidRPr="006D3CDC">
        <w:rPr>
          <w:rFonts w:ascii="Arial" w:hAnsi="Arial" w:cs="Arial"/>
          <w:sz w:val="22"/>
          <w:szCs w:val="22"/>
        </w:rPr>
        <w:t>e adapted methodologies used by CMS</w:t>
      </w:r>
      <w:r>
        <w:rPr>
          <w:rFonts w:ascii="Arial" w:hAnsi="Arial" w:cs="Arial"/>
          <w:sz w:val="22"/>
          <w:szCs w:val="22"/>
        </w:rPr>
        <w:t xml:space="preserve"> to risk adjust facility-level change in functional status and readmission rates.</w:t>
      </w:r>
      <w:r w:rsidRPr="006D3CDC">
        <w:rPr>
          <w:rFonts w:ascii="Arial" w:hAnsi="Arial" w:cs="Arial"/>
          <w:sz w:val="22"/>
          <w:szCs w:val="22"/>
        </w:rPr>
        <w:t xml:space="preserve"> </w:t>
      </w:r>
      <w:r>
        <w:rPr>
          <w:rFonts w:ascii="Arial" w:hAnsi="Arial" w:cs="Arial"/>
          <w:sz w:val="22"/>
          <w:szCs w:val="22"/>
        </w:rPr>
        <w:t xml:space="preserve">Our </w:t>
      </w:r>
      <w:r w:rsidRPr="006D3CDC">
        <w:rPr>
          <w:rFonts w:ascii="Arial" w:hAnsi="Arial" w:cs="Arial"/>
          <w:sz w:val="22"/>
          <w:szCs w:val="22"/>
        </w:rPr>
        <w:t xml:space="preserve">methodologies </w:t>
      </w:r>
      <w:r>
        <w:rPr>
          <w:rFonts w:ascii="Arial" w:hAnsi="Arial" w:cs="Arial"/>
          <w:sz w:val="22"/>
          <w:szCs w:val="22"/>
        </w:rPr>
        <w:t xml:space="preserve">were modeled </w:t>
      </w:r>
      <w:r w:rsidRPr="006D3CDC">
        <w:rPr>
          <w:rFonts w:ascii="Arial" w:hAnsi="Arial" w:cs="Arial"/>
          <w:sz w:val="22"/>
          <w:szCs w:val="22"/>
        </w:rPr>
        <w:t xml:space="preserve">after </w:t>
      </w:r>
      <w:r>
        <w:rPr>
          <w:rFonts w:ascii="Arial" w:hAnsi="Arial" w:cs="Arial"/>
          <w:sz w:val="22"/>
          <w:szCs w:val="22"/>
        </w:rPr>
        <w:t>methods</w:t>
      </w:r>
      <w:r w:rsidRPr="006D3CDC">
        <w:rPr>
          <w:rFonts w:ascii="Arial" w:hAnsi="Arial" w:cs="Arial"/>
          <w:sz w:val="22"/>
          <w:szCs w:val="22"/>
        </w:rPr>
        <w:t xml:space="preserve"> described in </w:t>
      </w:r>
      <w:r>
        <w:rPr>
          <w:rFonts w:ascii="Arial" w:hAnsi="Arial" w:cs="Arial"/>
          <w:i/>
          <w:iCs/>
          <w:sz w:val="22"/>
          <w:szCs w:val="22"/>
        </w:rPr>
        <w:t>Specification for the Function</w:t>
      </w:r>
      <w:r w:rsidRPr="006D3CDC">
        <w:rPr>
          <w:rFonts w:ascii="Arial" w:hAnsi="Arial" w:cs="Arial"/>
          <w:i/>
          <w:iCs/>
          <w:sz w:val="22"/>
          <w:szCs w:val="22"/>
        </w:rPr>
        <w:t xml:space="preserve"> Quality Measures Adopted in the Skilled Nursing Facility Quality Reporting Program</w:t>
      </w:r>
      <w:r w:rsidRPr="006D3CDC">
        <w:rPr>
          <w:rFonts w:ascii="Arial" w:hAnsi="Arial" w:cs="Arial"/>
          <w:i/>
          <w:iCs/>
          <w:sz w:val="22"/>
          <w:szCs w:val="22"/>
        </w:rPr>
        <w:fldChar w:fldCharType="begin" w:fldLock="1"/>
      </w:r>
      <w:r w:rsidRPr="006D3CDC">
        <w:rPr>
          <w:rFonts w:ascii="Arial" w:hAnsi="Arial" w:cs="Arial"/>
          <w:i/>
          <w:iCs/>
          <w:sz w:val="22"/>
          <w:szCs w:val="22"/>
        </w:rPr>
        <w:instrText>ADDIN CSL_CITATION {"citationItems":[{"id":"ITEM-1","itemData":{"author":[{"dropping-particle":"","family":"International","given":"RTI","non-dropping-particle":"","parse-names":false,"suffix":""}],"id":"ITEM-1","issue":"August","issued":{"date-parts":[["2018"]]},"title":"Specifications for the Function Quality Measures Adopted in the Skilled Nursing Facility Quality Reporting Program","type":"article-journal"},"uris":["http://www.mendeley.com/documents/?uuid=fbef1a1c-95e0-4be0-8461-9b5a1f825a52"]}],"mendeley":{"formattedCitation":"&lt;sup&gt;4&lt;/sup&gt;","plainTextFormattedCitation":"4","previouslyFormattedCitation":"&lt;sup&gt;4&lt;/sup&gt;"},"properties":{"noteIndex":0},"schema":"https://github.com/citation-style-language/schema/raw/master/csl-citation.json"}</w:instrText>
      </w:r>
      <w:r w:rsidRPr="006D3CDC">
        <w:rPr>
          <w:rFonts w:ascii="Arial" w:hAnsi="Arial" w:cs="Arial"/>
          <w:i/>
          <w:iCs/>
          <w:sz w:val="22"/>
          <w:szCs w:val="22"/>
        </w:rPr>
        <w:fldChar w:fldCharType="separate"/>
      </w:r>
      <w:r w:rsidRPr="006D3CDC">
        <w:rPr>
          <w:rFonts w:ascii="Arial" w:hAnsi="Arial" w:cs="Arial"/>
          <w:iCs/>
          <w:noProof/>
          <w:sz w:val="22"/>
          <w:szCs w:val="22"/>
          <w:vertAlign w:val="superscript"/>
        </w:rPr>
        <w:t>4</w:t>
      </w:r>
      <w:r w:rsidRPr="006D3CDC">
        <w:rPr>
          <w:rFonts w:ascii="Arial" w:hAnsi="Arial" w:cs="Arial"/>
          <w:i/>
          <w:iCs/>
          <w:sz w:val="22"/>
          <w:szCs w:val="22"/>
        </w:rPr>
        <w:fldChar w:fldCharType="end"/>
      </w:r>
      <w:r w:rsidRPr="006D3CDC">
        <w:rPr>
          <w:rFonts w:ascii="Arial" w:hAnsi="Arial" w:cs="Arial"/>
          <w:sz w:val="22"/>
          <w:szCs w:val="22"/>
        </w:rPr>
        <w:t xml:space="preserve"> (developed by RTI International) and </w:t>
      </w:r>
      <w:r w:rsidRPr="006D3CDC">
        <w:rPr>
          <w:rFonts w:ascii="Arial" w:hAnsi="Arial" w:cs="Arial"/>
          <w:i/>
          <w:iCs/>
          <w:sz w:val="22"/>
          <w:szCs w:val="22"/>
        </w:rPr>
        <w:t>Nursing Home Compare Claims-based Quality Measure Technical Specifications</w:t>
      </w:r>
      <w:r w:rsidRPr="006D3CDC">
        <w:rPr>
          <w:rFonts w:ascii="Arial" w:hAnsi="Arial" w:cs="Arial"/>
          <w:sz w:val="22"/>
          <w:szCs w:val="22"/>
        </w:rPr>
        <w:fldChar w:fldCharType="begin" w:fldLock="1"/>
      </w:r>
      <w:r>
        <w:rPr>
          <w:rFonts w:ascii="Arial" w:hAnsi="Arial" w:cs="Arial"/>
          <w:sz w:val="22"/>
          <w:szCs w:val="22"/>
        </w:rPr>
        <w:instrText>ADDIN CSL_CITATION {"citationItems":[{"id":"ITEM-1","itemData":{"author":[{"dropping-particle":"","family":"Abt Associates","given":"","non-dropping-particle":"","parse-names":false,"suffix":""}],"id":"ITEM-1","issued":{"date-parts":[["2018"]]},"title":"Nursing Home Compare Claims-Based Quality Measure Technical Specifications Final","type":"article-journal"},"uris":["http://www.mendeley.com/documents/?uuid=dd84f88e-b146-43b1-9aa9-6cd6b0965e2b"]}],"mendeley":{"formattedCitation":"&lt;sup&gt;5&lt;/sup&gt;","plainTextFormattedCitation":"5","previouslyFormattedCitation":"&lt;sup&gt;5&lt;/sup&gt;"},"properties":{"noteIndex":0},"schema":"https://github.com/citation-style-language/schema/raw/master/csl-citation.json"}</w:instrText>
      </w:r>
      <w:r w:rsidRPr="006D3CDC">
        <w:rPr>
          <w:rFonts w:ascii="Arial" w:hAnsi="Arial" w:cs="Arial"/>
          <w:sz w:val="22"/>
          <w:szCs w:val="22"/>
        </w:rPr>
        <w:fldChar w:fldCharType="separate"/>
      </w:r>
      <w:r w:rsidRPr="006D3CDC">
        <w:rPr>
          <w:rFonts w:ascii="Arial" w:hAnsi="Arial" w:cs="Arial"/>
          <w:noProof/>
          <w:sz w:val="22"/>
          <w:szCs w:val="22"/>
          <w:vertAlign w:val="superscript"/>
        </w:rPr>
        <w:t>5</w:t>
      </w:r>
      <w:r w:rsidRPr="006D3CDC">
        <w:rPr>
          <w:rFonts w:ascii="Arial" w:hAnsi="Arial" w:cs="Arial"/>
          <w:sz w:val="22"/>
          <w:szCs w:val="22"/>
        </w:rPr>
        <w:fldChar w:fldCharType="end"/>
      </w:r>
      <w:r w:rsidRPr="006D3CDC">
        <w:rPr>
          <w:rFonts w:ascii="Arial" w:hAnsi="Arial" w:cs="Arial"/>
          <w:sz w:val="22"/>
          <w:szCs w:val="22"/>
        </w:rPr>
        <w:t xml:space="preserve"> (developed by Abt Associates) for change in functional status and readmission, respectively.</w:t>
      </w:r>
      <w:r>
        <w:rPr>
          <w:rFonts w:ascii="Arial" w:hAnsi="Arial" w:cs="Arial"/>
          <w:sz w:val="22"/>
          <w:szCs w:val="22"/>
        </w:rPr>
        <w:t xml:space="preserve"> The four-step process used for the change in functional status measures includes:</w:t>
      </w:r>
    </w:p>
    <w:p w14:paraId="311A2E25" w14:textId="77777777" w:rsidR="00E04ABD" w:rsidRDefault="00E04ABD" w:rsidP="00E04ABD">
      <w:pPr>
        <w:spacing w:line="480" w:lineRule="auto"/>
        <w:rPr>
          <w:rFonts w:ascii="Arial" w:hAnsi="Arial" w:cs="Arial"/>
          <w:i/>
          <w:iCs/>
          <w:sz w:val="22"/>
          <w:szCs w:val="22"/>
        </w:rPr>
      </w:pPr>
    </w:p>
    <w:p w14:paraId="54690061" w14:textId="575BFE3A"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Step 1:</w:t>
      </w:r>
      <w:r w:rsidRPr="006D3CDC">
        <w:rPr>
          <w:rFonts w:ascii="Arial" w:hAnsi="Arial" w:cs="Arial"/>
          <w:sz w:val="22"/>
          <w:szCs w:val="22"/>
        </w:rPr>
        <w:t xml:space="preserve"> </w:t>
      </w:r>
      <w:r>
        <w:rPr>
          <w:rFonts w:ascii="Arial" w:hAnsi="Arial" w:cs="Arial"/>
          <w:sz w:val="22"/>
          <w:szCs w:val="22"/>
        </w:rPr>
        <w:t>G</w:t>
      </w:r>
      <w:r w:rsidRPr="006D3CDC">
        <w:rPr>
          <w:rFonts w:ascii="Arial" w:hAnsi="Arial" w:cs="Arial"/>
          <w:sz w:val="22"/>
          <w:szCs w:val="22"/>
        </w:rPr>
        <w:t xml:space="preserve">eneralized linear models </w:t>
      </w:r>
      <w:r>
        <w:rPr>
          <w:rFonts w:ascii="Arial" w:hAnsi="Arial" w:cs="Arial"/>
          <w:sz w:val="22"/>
          <w:szCs w:val="22"/>
        </w:rPr>
        <w:t xml:space="preserve">were created </w:t>
      </w:r>
      <w:r w:rsidRPr="006D3CDC">
        <w:rPr>
          <w:rFonts w:ascii="Arial" w:hAnsi="Arial" w:cs="Arial"/>
          <w:sz w:val="22"/>
          <w:szCs w:val="22"/>
        </w:rPr>
        <w:t xml:space="preserve">with </w:t>
      </w:r>
      <w:r>
        <w:rPr>
          <w:rFonts w:ascii="Arial" w:hAnsi="Arial" w:cs="Arial"/>
          <w:sz w:val="22"/>
          <w:szCs w:val="22"/>
        </w:rPr>
        <w:t xml:space="preserve">a </w:t>
      </w:r>
      <w:r w:rsidRPr="006D3CDC">
        <w:rPr>
          <w:rFonts w:ascii="Arial" w:hAnsi="Arial" w:cs="Arial"/>
          <w:sz w:val="22"/>
          <w:szCs w:val="22"/>
        </w:rPr>
        <w:t xml:space="preserve">generalized estimation equation (GEE) to estimate patient-level expected changes in functional status scores. The GEE with a compound symmetry correlation matrix structure </w:t>
      </w:r>
      <w:r>
        <w:rPr>
          <w:rFonts w:ascii="Arial" w:hAnsi="Arial" w:cs="Arial"/>
          <w:sz w:val="22"/>
          <w:szCs w:val="22"/>
        </w:rPr>
        <w:t xml:space="preserve">and </w:t>
      </w:r>
      <w:r w:rsidRPr="006D3CDC">
        <w:rPr>
          <w:rFonts w:ascii="Arial" w:hAnsi="Arial" w:cs="Arial"/>
          <w:sz w:val="22"/>
          <w:szCs w:val="22"/>
        </w:rPr>
        <w:t xml:space="preserve">robust standard errors was used to account for correlation of the data among patients </w:t>
      </w:r>
      <w:r>
        <w:rPr>
          <w:rFonts w:ascii="Arial" w:hAnsi="Arial" w:cs="Arial"/>
          <w:sz w:val="22"/>
          <w:szCs w:val="22"/>
        </w:rPr>
        <w:t xml:space="preserve">who </w:t>
      </w:r>
      <w:r w:rsidRPr="006D3CDC">
        <w:rPr>
          <w:rFonts w:ascii="Arial" w:hAnsi="Arial" w:cs="Arial"/>
          <w:sz w:val="22"/>
          <w:szCs w:val="22"/>
        </w:rPr>
        <w:t xml:space="preserve">received </w:t>
      </w:r>
      <w:r w:rsidR="00436120">
        <w:rPr>
          <w:rFonts w:ascii="Arial" w:hAnsi="Arial" w:cs="Arial"/>
          <w:sz w:val="22"/>
          <w:szCs w:val="22"/>
        </w:rPr>
        <w:t>swing bed</w:t>
      </w:r>
      <w:r>
        <w:rPr>
          <w:rFonts w:ascii="Arial" w:hAnsi="Arial" w:cs="Arial"/>
          <w:sz w:val="22"/>
          <w:szCs w:val="22"/>
        </w:rPr>
        <w:t xml:space="preserve"> </w:t>
      </w:r>
      <w:r w:rsidRPr="006D3CDC">
        <w:rPr>
          <w:rFonts w:ascii="Arial" w:hAnsi="Arial" w:cs="Arial"/>
          <w:sz w:val="22"/>
          <w:szCs w:val="22"/>
        </w:rPr>
        <w:t xml:space="preserve">care at the same CAH. To ensure comparability between the risk adjusted measures from </w:t>
      </w:r>
      <w:r w:rsidR="006A4D0A">
        <w:rPr>
          <w:rFonts w:ascii="Arial" w:hAnsi="Arial" w:cs="Arial"/>
          <w:sz w:val="22"/>
          <w:szCs w:val="22"/>
        </w:rPr>
        <w:t>the</w:t>
      </w:r>
      <w:r w:rsidRPr="006D3CDC">
        <w:rPr>
          <w:rFonts w:ascii="Arial" w:hAnsi="Arial" w:cs="Arial"/>
          <w:sz w:val="22"/>
          <w:szCs w:val="22"/>
        </w:rPr>
        <w:t xml:space="preserve"> CAH-based models and those estimated by the CMS models, we used the same sample exclusion criteria and attempted to fit as many risk adjustors as in the </w:t>
      </w:r>
      <w:r>
        <w:rPr>
          <w:rFonts w:ascii="Arial" w:hAnsi="Arial" w:cs="Arial"/>
          <w:sz w:val="22"/>
          <w:szCs w:val="22"/>
        </w:rPr>
        <w:t>CMS models</w:t>
      </w:r>
      <w:r w:rsidRPr="006D3CDC">
        <w:rPr>
          <w:rFonts w:ascii="Arial" w:hAnsi="Arial" w:cs="Arial"/>
          <w:sz w:val="22"/>
          <w:szCs w:val="22"/>
        </w:rPr>
        <w:t xml:space="preserve">. Figure </w:t>
      </w:r>
      <w:r>
        <w:rPr>
          <w:rFonts w:ascii="Arial" w:hAnsi="Arial" w:cs="Arial"/>
          <w:sz w:val="22"/>
          <w:szCs w:val="22"/>
        </w:rPr>
        <w:t>A1</w:t>
      </w:r>
      <w:r w:rsidRPr="006D3CDC">
        <w:rPr>
          <w:rFonts w:ascii="Arial" w:hAnsi="Arial" w:cs="Arial"/>
          <w:sz w:val="22"/>
          <w:szCs w:val="22"/>
        </w:rPr>
        <w:t xml:space="preserve"> shows the exclusion </w:t>
      </w:r>
      <w:r>
        <w:rPr>
          <w:rFonts w:ascii="Arial" w:hAnsi="Arial" w:cs="Arial"/>
          <w:sz w:val="22"/>
          <w:szCs w:val="22"/>
        </w:rPr>
        <w:t>strategy</w:t>
      </w:r>
      <w:r w:rsidRPr="006D3CDC">
        <w:rPr>
          <w:rFonts w:ascii="Arial" w:hAnsi="Arial" w:cs="Arial"/>
          <w:sz w:val="22"/>
          <w:szCs w:val="22"/>
        </w:rPr>
        <w:t xml:space="preserve"> used to arrive at </w:t>
      </w:r>
      <w:r>
        <w:rPr>
          <w:rFonts w:ascii="Arial" w:hAnsi="Arial" w:cs="Arial"/>
          <w:sz w:val="22"/>
          <w:szCs w:val="22"/>
        </w:rPr>
        <w:t>the</w:t>
      </w:r>
      <w:r w:rsidRPr="006D3CDC">
        <w:rPr>
          <w:rFonts w:ascii="Arial" w:hAnsi="Arial" w:cs="Arial"/>
          <w:sz w:val="22"/>
          <w:szCs w:val="22"/>
        </w:rPr>
        <w:t xml:space="preserve"> final analytical sample (N=6,403; 76% of the original sample). Unlike the CMS model, non-Medicare patients</w:t>
      </w:r>
      <w:r>
        <w:rPr>
          <w:rFonts w:ascii="Arial" w:hAnsi="Arial" w:cs="Arial"/>
          <w:sz w:val="22"/>
          <w:szCs w:val="22"/>
        </w:rPr>
        <w:t xml:space="preserve"> were not excluded</w:t>
      </w:r>
      <w:r w:rsidRPr="006D3CDC">
        <w:rPr>
          <w:rFonts w:ascii="Arial" w:hAnsi="Arial" w:cs="Arial"/>
          <w:sz w:val="22"/>
          <w:szCs w:val="22"/>
        </w:rPr>
        <w:t xml:space="preserve"> since </w:t>
      </w:r>
      <w:r w:rsidR="00436120">
        <w:rPr>
          <w:rFonts w:ascii="Arial" w:hAnsi="Arial" w:cs="Arial"/>
          <w:sz w:val="22"/>
          <w:szCs w:val="22"/>
        </w:rPr>
        <w:t>swing bed</w:t>
      </w:r>
      <w:r w:rsidRPr="006D3CDC">
        <w:rPr>
          <w:rFonts w:ascii="Arial" w:hAnsi="Arial" w:cs="Arial"/>
          <w:sz w:val="22"/>
          <w:szCs w:val="22"/>
        </w:rPr>
        <w:t xml:space="preserve"> services </w:t>
      </w:r>
      <w:r>
        <w:rPr>
          <w:rFonts w:ascii="Arial" w:hAnsi="Arial" w:cs="Arial"/>
          <w:sz w:val="22"/>
          <w:szCs w:val="22"/>
        </w:rPr>
        <w:t>are</w:t>
      </w:r>
      <w:r w:rsidRPr="006D3CDC">
        <w:rPr>
          <w:rFonts w:ascii="Arial" w:hAnsi="Arial" w:cs="Arial"/>
          <w:sz w:val="22"/>
          <w:szCs w:val="22"/>
        </w:rPr>
        <w:t xml:space="preserve"> </w:t>
      </w:r>
      <w:r>
        <w:rPr>
          <w:rFonts w:ascii="Arial" w:hAnsi="Arial" w:cs="Arial"/>
          <w:sz w:val="22"/>
          <w:szCs w:val="22"/>
        </w:rPr>
        <w:t>not used exclusively by</w:t>
      </w:r>
      <w:r w:rsidRPr="006D3CDC">
        <w:rPr>
          <w:rFonts w:ascii="Arial" w:hAnsi="Arial" w:cs="Arial"/>
          <w:sz w:val="22"/>
          <w:szCs w:val="22"/>
        </w:rPr>
        <w:t xml:space="preserve"> Medi</w:t>
      </w:r>
      <w:r>
        <w:rPr>
          <w:rFonts w:ascii="Arial" w:hAnsi="Arial" w:cs="Arial"/>
          <w:sz w:val="22"/>
          <w:szCs w:val="22"/>
        </w:rPr>
        <w:t>care beneficiaries.</w:t>
      </w:r>
    </w:p>
    <w:p w14:paraId="5B407941" w14:textId="77777777" w:rsidR="00E04ABD" w:rsidRPr="005C7209" w:rsidRDefault="00E04ABD" w:rsidP="00E04ABD">
      <w:pPr>
        <w:spacing w:line="480" w:lineRule="auto"/>
        <w:rPr>
          <w:rFonts w:ascii="Arial" w:hAnsi="Arial" w:cs="Arial"/>
          <w:sz w:val="22"/>
          <w:szCs w:val="22"/>
        </w:rPr>
      </w:pPr>
      <w:r w:rsidRPr="006D3CDC">
        <w:rPr>
          <w:rFonts w:ascii="Arial" w:hAnsi="Arial" w:cs="Arial"/>
          <w:sz w:val="22"/>
          <w:szCs w:val="22"/>
        </w:rPr>
        <w:t>Table</w:t>
      </w:r>
      <w:r>
        <w:rPr>
          <w:rFonts w:ascii="Arial" w:hAnsi="Arial" w:cs="Arial"/>
          <w:sz w:val="22"/>
          <w:szCs w:val="22"/>
        </w:rPr>
        <w:t>s</w:t>
      </w:r>
      <w:r w:rsidRPr="006D3CDC">
        <w:rPr>
          <w:rFonts w:ascii="Arial" w:hAnsi="Arial" w:cs="Arial"/>
          <w:sz w:val="22"/>
          <w:szCs w:val="22"/>
        </w:rPr>
        <w:t xml:space="preserve"> </w:t>
      </w:r>
      <w:r>
        <w:rPr>
          <w:rFonts w:ascii="Arial" w:hAnsi="Arial" w:cs="Arial"/>
          <w:sz w:val="22"/>
          <w:szCs w:val="22"/>
        </w:rPr>
        <w:t>A</w:t>
      </w:r>
      <w:r w:rsidRPr="006D3CDC">
        <w:rPr>
          <w:rFonts w:ascii="Arial" w:hAnsi="Arial" w:cs="Arial"/>
          <w:sz w:val="22"/>
          <w:szCs w:val="22"/>
        </w:rPr>
        <w:t xml:space="preserve">2 </w:t>
      </w:r>
      <w:r>
        <w:rPr>
          <w:rFonts w:ascii="Arial" w:hAnsi="Arial" w:cs="Arial"/>
          <w:sz w:val="22"/>
          <w:szCs w:val="22"/>
        </w:rPr>
        <w:t>and</w:t>
      </w:r>
      <w:r w:rsidRPr="006D3CDC">
        <w:rPr>
          <w:rFonts w:ascii="Arial" w:hAnsi="Arial" w:cs="Arial"/>
          <w:sz w:val="22"/>
          <w:szCs w:val="22"/>
        </w:rPr>
        <w:t xml:space="preserve"> </w:t>
      </w:r>
      <w:r>
        <w:rPr>
          <w:rFonts w:ascii="Arial" w:hAnsi="Arial" w:cs="Arial"/>
          <w:sz w:val="22"/>
          <w:szCs w:val="22"/>
        </w:rPr>
        <w:t>A</w:t>
      </w:r>
      <w:r w:rsidRPr="006D3CDC">
        <w:rPr>
          <w:rFonts w:ascii="Arial" w:hAnsi="Arial" w:cs="Arial"/>
          <w:sz w:val="22"/>
          <w:szCs w:val="22"/>
        </w:rPr>
        <w:t xml:space="preserve">3 show the risk adjustors, </w:t>
      </w:r>
      <w:r>
        <w:rPr>
          <w:rFonts w:ascii="Arial" w:hAnsi="Arial" w:cs="Arial"/>
          <w:sz w:val="22"/>
          <w:szCs w:val="22"/>
        </w:rPr>
        <w:t>their coefficients</w:t>
      </w:r>
      <w:r w:rsidRPr="006D3CDC">
        <w:rPr>
          <w:rFonts w:ascii="Arial" w:hAnsi="Arial" w:cs="Arial"/>
          <w:sz w:val="22"/>
          <w:szCs w:val="22"/>
        </w:rPr>
        <w:t xml:space="preserve"> and </w:t>
      </w:r>
      <w:r>
        <w:rPr>
          <w:rFonts w:ascii="Arial" w:hAnsi="Arial" w:cs="Arial"/>
          <w:sz w:val="22"/>
          <w:szCs w:val="22"/>
        </w:rPr>
        <w:t>the</w:t>
      </w:r>
      <w:r w:rsidRPr="006D3CDC">
        <w:rPr>
          <w:rFonts w:ascii="Arial" w:hAnsi="Arial" w:cs="Arial"/>
          <w:sz w:val="22"/>
          <w:szCs w:val="22"/>
        </w:rPr>
        <w:t xml:space="preserve"> significance level for </w:t>
      </w:r>
      <w:r>
        <w:rPr>
          <w:rFonts w:ascii="Arial" w:hAnsi="Arial" w:cs="Arial"/>
          <w:sz w:val="22"/>
          <w:szCs w:val="22"/>
        </w:rPr>
        <w:t>the</w:t>
      </w:r>
      <w:r w:rsidRPr="006D3CDC">
        <w:rPr>
          <w:rFonts w:ascii="Arial" w:hAnsi="Arial" w:cs="Arial"/>
          <w:sz w:val="22"/>
          <w:szCs w:val="22"/>
        </w:rPr>
        <w:t xml:space="preserve"> models </w:t>
      </w:r>
      <w:r>
        <w:rPr>
          <w:rFonts w:ascii="Arial" w:hAnsi="Arial" w:cs="Arial"/>
          <w:sz w:val="22"/>
          <w:szCs w:val="22"/>
        </w:rPr>
        <w:t xml:space="preserve">used in </w:t>
      </w:r>
      <w:r w:rsidRPr="006D3CDC">
        <w:rPr>
          <w:rFonts w:ascii="Arial" w:hAnsi="Arial" w:cs="Arial"/>
          <w:sz w:val="22"/>
          <w:szCs w:val="22"/>
        </w:rPr>
        <w:t>estimating expected change in self-care and mobilit</w:t>
      </w:r>
      <w:r>
        <w:rPr>
          <w:rFonts w:ascii="Arial" w:hAnsi="Arial" w:cs="Arial"/>
          <w:sz w:val="22"/>
          <w:szCs w:val="22"/>
        </w:rPr>
        <w:t>y.</w:t>
      </w:r>
      <w:r w:rsidRPr="006D3CDC">
        <w:rPr>
          <w:rFonts w:ascii="Arial" w:hAnsi="Arial" w:cs="Arial"/>
          <w:sz w:val="22"/>
          <w:szCs w:val="22"/>
        </w:rPr>
        <w:t xml:space="preserve"> </w:t>
      </w:r>
      <w:r>
        <w:rPr>
          <w:rFonts w:ascii="Arial" w:hAnsi="Arial" w:cs="Arial"/>
          <w:sz w:val="22"/>
          <w:szCs w:val="22"/>
        </w:rPr>
        <w:t xml:space="preserve">The </w:t>
      </w:r>
      <w:r w:rsidRPr="00151650">
        <w:rPr>
          <w:rFonts w:ascii="Arial" w:hAnsi="Arial" w:cs="Arial"/>
          <w:sz w:val="22"/>
          <w:szCs w:val="22"/>
        </w:rPr>
        <w:t xml:space="preserve">models did not include all risk adjustors </w:t>
      </w:r>
      <w:r>
        <w:rPr>
          <w:rFonts w:ascii="Arial" w:hAnsi="Arial" w:cs="Arial"/>
          <w:sz w:val="22"/>
          <w:szCs w:val="22"/>
        </w:rPr>
        <w:t>used</w:t>
      </w:r>
      <w:r w:rsidRPr="00151650">
        <w:rPr>
          <w:rFonts w:ascii="Arial" w:hAnsi="Arial" w:cs="Arial"/>
          <w:sz w:val="22"/>
          <w:szCs w:val="22"/>
        </w:rPr>
        <w:t xml:space="preserve"> in the CMS models </w:t>
      </w:r>
      <w:r>
        <w:rPr>
          <w:rFonts w:ascii="Arial" w:hAnsi="Arial" w:cs="Arial"/>
          <w:sz w:val="22"/>
          <w:szCs w:val="22"/>
        </w:rPr>
        <w:t>since</w:t>
      </w:r>
      <w:r w:rsidRPr="00151650">
        <w:rPr>
          <w:rFonts w:ascii="Arial" w:hAnsi="Arial" w:cs="Arial"/>
          <w:sz w:val="22"/>
          <w:szCs w:val="22"/>
        </w:rPr>
        <w:t xml:space="preserve"> we did not have access to claims data</w:t>
      </w:r>
      <w:r>
        <w:rPr>
          <w:rFonts w:ascii="Arial" w:hAnsi="Arial" w:cs="Arial"/>
          <w:sz w:val="22"/>
          <w:szCs w:val="22"/>
        </w:rPr>
        <w:t>.</w:t>
      </w:r>
      <w:r w:rsidRPr="00151650">
        <w:rPr>
          <w:rFonts w:ascii="Arial" w:hAnsi="Arial" w:cs="Arial"/>
          <w:sz w:val="22"/>
          <w:szCs w:val="22"/>
        </w:rPr>
        <w:t xml:space="preserve"> Per our assessment, the </w:t>
      </w:r>
      <w:r>
        <w:rPr>
          <w:rFonts w:ascii="Arial" w:hAnsi="Arial" w:cs="Arial"/>
          <w:sz w:val="22"/>
          <w:szCs w:val="22"/>
        </w:rPr>
        <w:t>relationships</w:t>
      </w:r>
      <w:r w:rsidRPr="00151650">
        <w:rPr>
          <w:rFonts w:ascii="Arial" w:hAnsi="Arial" w:cs="Arial"/>
          <w:sz w:val="22"/>
          <w:szCs w:val="22"/>
        </w:rPr>
        <w:t xml:space="preserve"> between the risk adjustors </w:t>
      </w:r>
      <w:r>
        <w:rPr>
          <w:rFonts w:ascii="Arial" w:hAnsi="Arial" w:cs="Arial"/>
          <w:sz w:val="22"/>
          <w:szCs w:val="22"/>
        </w:rPr>
        <w:t>that were not included</w:t>
      </w:r>
      <w:r w:rsidRPr="00151650">
        <w:rPr>
          <w:rFonts w:ascii="Arial" w:hAnsi="Arial" w:cs="Arial"/>
          <w:sz w:val="22"/>
          <w:szCs w:val="22"/>
        </w:rPr>
        <w:t xml:space="preserve"> and changes in functional status were likely mediated by the risk adjustors included in </w:t>
      </w:r>
      <w:r>
        <w:rPr>
          <w:rFonts w:ascii="Arial" w:hAnsi="Arial" w:cs="Arial"/>
          <w:sz w:val="22"/>
          <w:szCs w:val="22"/>
        </w:rPr>
        <w:t>the</w:t>
      </w:r>
      <w:r w:rsidRPr="00151650">
        <w:rPr>
          <w:rFonts w:ascii="Arial" w:hAnsi="Arial" w:cs="Arial"/>
          <w:sz w:val="22"/>
          <w:szCs w:val="22"/>
        </w:rPr>
        <w:t xml:space="preserve"> models. Hence, </w:t>
      </w:r>
      <w:r>
        <w:rPr>
          <w:rFonts w:ascii="Arial" w:hAnsi="Arial" w:cs="Arial"/>
          <w:sz w:val="22"/>
          <w:szCs w:val="22"/>
        </w:rPr>
        <w:t>their omission</w:t>
      </w:r>
      <w:r w:rsidRPr="00151650">
        <w:rPr>
          <w:rFonts w:ascii="Arial" w:hAnsi="Arial" w:cs="Arial"/>
          <w:sz w:val="22"/>
          <w:szCs w:val="22"/>
        </w:rPr>
        <w:t xml:space="preserve"> from </w:t>
      </w:r>
      <w:r>
        <w:rPr>
          <w:rFonts w:ascii="Arial" w:hAnsi="Arial" w:cs="Arial"/>
          <w:sz w:val="22"/>
          <w:szCs w:val="22"/>
        </w:rPr>
        <w:t>the</w:t>
      </w:r>
      <w:r w:rsidRPr="00151650">
        <w:rPr>
          <w:rFonts w:ascii="Arial" w:hAnsi="Arial" w:cs="Arial"/>
          <w:sz w:val="22"/>
          <w:szCs w:val="22"/>
        </w:rPr>
        <w:t xml:space="preserve"> models should minimally affect </w:t>
      </w:r>
      <w:r>
        <w:rPr>
          <w:rFonts w:ascii="Arial" w:hAnsi="Arial" w:cs="Arial"/>
          <w:sz w:val="22"/>
          <w:szCs w:val="22"/>
        </w:rPr>
        <w:t>the</w:t>
      </w:r>
      <w:r w:rsidRPr="00151650">
        <w:rPr>
          <w:rFonts w:ascii="Arial" w:hAnsi="Arial" w:cs="Arial"/>
          <w:sz w:val="22"/>
          <w:szCs w:val="22"/>
        </w:rPr>
        <w:t xml:space="preserve"> models’ predictability. R</w:t>
      </w:r>
      <w:r w:rsidRPr="006D3CDC">
        <w:rPr>
          <w:rFonts w:ascii="Arial" w:hAnsi="Arial" w:cs="Arial"/>
          <w:sz w:val="22"/>
          <w:szCs w:val="22"/>
        </w:rPr>
        <w:t xml:space="preserve">-squared statistics for </w:t>
      </w:r>
      <w:r>
        <w:rPr>
          <w:rFonts w:ascii="Arial" w:hAnsi="Arial" w:cs="Arial"/>
          <w:sz w:val="22"/>
          <w:szCs w:val="22"/>
        </w:rPr>
        <w:t xml:space="preserve">the </w:t>
      </w:r>
      <w:r w:rsidRPr="006D3CDC">
        <w:rPr>
          <w:rFonts w:ascii="Arial" w:hAnsi="Arial" w:cs="Arial"/>
          <w:sz w:val="22"/>
          <w:szCs w:val="22"/>
        </w:rPr>
        <w:t xml:space="preserve">models estimating expected change in </w:t>
      </w:r>
      <w:bookmarkStart w:id="23" w:name="_Hlk25007145"/>
      <w:r w:rsidRPr="006D3CDC">
        <w:rPr>
          <w:rFonts w:ascii="Arial" w:hAnsi="Arial" w:cs="Arial"/>
          <w:sz w:val="22"/>
          <w:szCs w:val="22"/>
        </w:rPr>
        <w:t>self</w:t>
      </w:r>
      <w:r>
        <w:rPr>
          <w:rFonts w:ascii="Arial" w:hAnsi="Arial" w:cs="Arial"/>
          <w:sz w:val="22"/>
          <w:szCs w:val="22"/>
        </w:rPr>
        <w:t xml:space="preserve"> </w:t>
      </w:r>
      <w:r w:rsidRPr="006D3CDC">
        <w:rPr>
          <w:rFonts w:ascii="Arial" w:hAnsi="Arial" w:cs="Arial"/>
          <w:sz w:val="22"/>
          <w:szCs w:val="22"/>
        </w:rPr>
        <w:t xml:space="preserve">care </w:t>
      </w:r>
      <w:bookmarkEnd w:id="23"/>
      <w:r w:rsidRPr="006D3CDC">
        <w:rPr>
          <w:rFonts w:ascii="Arial" w:hAnsi="Arial" w:cs="Arial"/>
          <w:sz w:val="22"/>
          <w:szCs w:val="22"/>
        </w:rPr>
        <w:t xml:space="preserve">and mobility were </w:t>
      </w:r>
      <w:r>
        <w:rPr>
          <w:rFonts w:ascii="Arial" w:hAnsi="Arial" w:cs="Arial"/>
          <w:sz w:val="22"/>
          <w:szCs w:val="22"/>
        </w:rPr>
        <w:t>0.24</w:t>
      </w:r>
      <w:r w:rsidRPr="006D3CDC">
        <w:rPr>
          <w:rFonts w:ascii="Arial" w:hAnsi="Arial" w:cs="Arial"/>
          <w:sz w:val="22"/>
          <w:szCs w:val="22"/>
        </w:rPr>
        <w:t xml:space="preserve"> and 0.19, respectively.</w:t>
      </w:r>
    </w:p>
    <w:p w14:paraId="5378A1A8" w14:textId="77777777" w:rsidR="00E04ABD" w:rsidRDefault="00E04ABD" w:rsidP="00E04ABD">
      <w:pPr>
        <w:spacing w:line="480" w:lineRule="auto"/>
        <w:rPr>
          <w:rFonts w:ascii="Arial" w:hAnsi="Arial" w:cs="Arial"/>
          <w:i/>
          <w:iCs/>
          <w:sz w:val="22"/>
          <w:szCs w:val="22"/>
        </w:rPr>
      </w:pPr>
    </w:p>
    <w:p w14:paraId="55DE8B36" w14:textId="77777777"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Step 2:</w:t>
      </w:r>
      <w:r w:rsidRPr="006D3CDC">
        <w:rPr>
          <w:rFonts w:ascii="Arial" w:hAnsi="Arial" w:cs="Arial"/>
          <w:sz w:val="22"/>
          <w:szCs w:val="22"/>
        </w:rPr>
        <w:t xml:space="preserve"> Using the models </w:t>
      </w:r>
      <w:r>
        <w:rPr>
          <w:rFonts w:ascii="Arial" w:hAnsi="Arial" w:cs="Arial"/>
          <w:sz w:val="22"/>
          <w:szCs w:val="22"/>
        </w:rPr>
        <w:t>created in</w:t>
      </w:r>
      <w:r w:rsidRPr="006D3CDC">
        <w:rPr>
          <w:rFonts w:ascii="Arial" w:hAnsi="Arial" w:cs="Arial"/>
          <w:sz w:val="22"/>
          <w:szCs w:val="22"/>
        </w:rPr>
        <w:t xml:space="preserve"> </w:t>
      </w:r>
      <w:r w:rsidRPr="006D3CDC">
        <w:rPr>
          <w:rFonts w:ascii="Arial" w:hAnsi="Arial" w:cs="Arial"/>
          <w:i/>
          <w:iCs/>
          <w:sz w:val="22"/>
          <w:szCs w:val="22"/>
        </w:rPr>
        <w:t>Step 1</w:t>
      </w:r>
      <w:r w:rsidRPr="006D3CDC">
        <w:rPr>
          <w:rFonts w:ascii="Arial" w:hAnsi="Arial" w:cs="Arial"/>
          <w:sz w:val="22"/>
          <w:szCs w:val="22"/>
        </w:rPr>
        <w:t xml:space="preserve">, expected changes in functional status </w:t>
      </w:r>
      <w:r>
        <w:rPr>
          <w:rFonts w:ascii="Arial" w:hAnsi="Arial" w:cs="Arial"/>
          <w:sz w:val="22"/>
          <w:szCs w:val="22"/>
        </w:rPr>
        <w:t xml:space="preserve">were estimated </w:t>
      </w:r>
      <w:r w:rsidRPr="006D3CDC">
        <w:rPr>
          <w:rFonts w:ascii="Arial" w:hAnsi="Arial" w:cs="Arial"/>
          <w:sz w:val="22"/>
          <w:szCs w:val="22"/>
        </w:rPr>
        <w:t xml:space="preserve">for all </w:t>
      </w:r>
      <w:r>
        <w:rPr>
          <w:rFonts w:ascii="Arial" w:hAnsi="Arial" w:cs="Arial"/>
          <w:sz w:val="22"/>
          <w:szCs w:val="22"/>
        </w:rPr>
        <w:t>patients in the</w:t>
      </w:r>
      <w:r w:rsidRPr="006D3CDC">
        <w:rPr>
          <w:rFonts w:ascii="Arial" w:hAnsi="Arial" w:cs="Arial"/>
          <w:sz w:val="22"/>
          <w:szCs w:val="22"/>
        </w:rPr>
        <w:t xml:space="preserve"> analytical sample. For each CAH, the mean of these values among their patients</w:t>
      </w:r>
      <w:r>
        <w:rPr>
          <w:rFonts w:ascii="Arial" w:hAnsi="Arial" w:cs="Arial"/>
          <w:sz w:val="22"/>
          <w:szCs w:val="22"/>
        </w:rPr>
        <w:t xml:space="preserve"> was calculated</w:t>
      </w:r>
      <w:r w:rsidRPr="006D3CDC">
        <w:rPr>
          <w:rFonts w:ascii="Arial" w:hAnsi="Arial" w:cs="Arial"/>
          <w:sz w:val="22"/>
          <w:szCs w:val="22"/>
        </w:rPr>
        <w:t xml:space="preserve"> to </w:t>
      </w:r>
      <w:r>
        <w:rPr>
          <w:rFonts w:ascii="Arial" w:hAnsi="Arial" w:cs="Arial"/>
          <w:sz w:val="22"/>
          <w:szCs w:val="22"/>
        </w:rPr>
        <w:t>estimate</w:t>
      </w:r>
      <w:r w:rsidRPr="006D3CDC">
        <w:rPr>
          <w:rFonts w:ascii="Arial" w:hAnsi="Arial" w:cs="Arial"/>
          <w:sz w:val="22"/>
          <w:szCs w:val="22"/>
        </w:rPr>
        <w:t xml:space="preserve"> the facility-level expected changes in functional status.</w:t>
      </w:r>
    </w:p>
    <w:p w14:paraId="558F8702" w14:textId="77777777" w:rsidR="00E04ABD" w:rsidRDefault="00E04ABD" w:rsidP="00E04ABD">
      <w:pPr>
        <w:spacing w:line="480" w:lineRule="auto"/>
        <w:rPr>
          <w:rFonts w:ascii="Arial" w:hAnsi="Arial" w:cs="Arial"/>
          <w:i/>
          <w:iCs/>
          <w:sz w:val="22"/>
          <w:szCs w:val="22"/>
        </w:rPr>
      </w:pPr>
    </w:p>
    <w:p w14:paraId="7E3B433F" w14:textId="77777777" w:rsidR="00E04ABD" w:rsidRPr="006D3CDC" w:rsidRDefault="00E04ABD" w:rsidP="00E04ABD">
      <w:pPr>
        <w:spacing w:line="480" w:lineRule="auto"/>
        <w:rPr>
          <w:rFonts w:ascii="Arial" w:hAnsi="Arial" w:cs="Arial"/>
          <w:sz w:val="22"/>
          <w:szCs w:val="22"/>
        </w:rPr>
      </w:pPr>
      <w:r w:rsidRPr="006D3CDC">
        <w:rPr>
          <w:rFonts w:ascii="Arial" w:hAnsi="Arial" w:cs="Arial"/>
          <w:i/>
          <w:iCs/>
          <w:sz w:val="22"/>
          <w:szCs w:val="22"/>
        </w:rPr>
        <w:t xml:space="preserve">Step </w:t>
      </w:r>
      <w:r>
        <w:rPr>
          <w:rFonts w:ascii="Arial" w:hAnsi="Arial" w:cs="Arial"/>
          <w:i/>
          <w:iCs/>
          <w:sz w:val="22"/>
          <w:szCs w:val="22"/>
        </w:rPr>
        <w:t>3</w:t>
      </w:r>
      <w:r w:rsidRPr="006D3CDC">
        <w:rPr>
          <w:rFonts w:ascii="Arial" w:hAnsi="Arial" w:cs="Arial"/>
          <w:sz w:val="22"/>
          <w:szCs w:val="22"/>
        </w:rPr>
        <w:t xml:space="preserve">: </w:t>
      </w:r>
      <w:r>
        <w:rPr>
          <w:rFonts w:ascii="Arial" w:hAnsi="Arial" w:cs="Arial"/>
          <w:sz w:val="22"/>
          <w:szCs w:val="22"/>
        </w:rPr>
        <w:t>T</w:t>
      </w:r>
      <w:r w:rsidRPr="006D3CDC">
        <w:rPr>
          <w:rFonts w:ascii="Arial" w:hAnsi="Arial" w:cs="Arial"/>
          <w:sz w:val="22"/>
          <w:szCs w:val="22"/>
        </w:rPr>
        <w:t xml:space="preserve">he 14-state mean observed changes in functional status using the patient-level scores from all patients in </w:t>
      </w:r>
      <w:r>
        <w:rPr>
          <w:rFonts w:ascii="Arial" w:hAnsi="Arial" w:cs="Arial"/>
          <w:sz w:val="22"/>
          <w:szCs w:val="22"/>
        </w:rPr>
        <w:t>the</w:t>
      </w:r>
      <w:r w:rsidRPr="006D3CDC">
        <w:rPr>
          <w:rFonts w:ascii="Arial" w:hAnsi="Arial" w:cs="Arial"/>
          <w:sz w:val="22"/>
          <w:szCs w:val="22"/>
        </w:rPr>
        <w:t xml:space="preserve"> analytical sample</w:t>
      </w:r>
      <w:r>
        <w:rPr>
          <w:rFonts w:ascii="Arial" w:hAnsi="Arial" w:cs="Arial"/>
          <w:sz w:val="22"/>
          <w:szCs w:val="22"/>
        </w:rPr>
        <w:t xml:space="preserve"> was calculated</w:t>
      </w:r>
      <w:r w:rsidRPr="006D3CDC">
        <w:rPr>
          <w:rFonts w:ascii="Arial" w:hAnsi="Arial" w:cs="Arial"/>
          <w:sz w:val="22"/>
          <w:szCs w:val="22"/>
        </w:rPr>
        <w:t xml:space="preserve">. These values </w:t>
      </w:r>
      <w:r>
        <w:rPr>
          <w:rFonts w:ascii="Arial" w:hAnsi="Arial" w:cs="Arial"/>
          <w:sz w:val="22"/>
          <w:szCs w:val="22"/>
        </w:rPr>
        <w:t>are</w:t>
      </w:r>
      <w:r w:rsidRPr="006D3CDC">
        <w:rPr>
          <w:rFonts w:ascii="Arial" w:hAnsi="Arial" w:cs="Arial"/>
          <w:sz w:val="22"/>
          <w:szCs w:val="22"/>
        </w:rPr>
        <w:t xml:space="preserve"> referred to as the 14-state sample changes in </w:t>
      </w:r>
      <w:r>
        <w:rPr>
          <w:rFonts w:ascii="Arial" w:hAnsi="Arial" w:cs="Arial"/>
          <w:sz w:val="22"/>
          <w:szCs w:val="22"/>
        </w:rPr>
        <w:t xml:space="preserve">functional </w:t>
      </w:r>
      <w:r w:rsidRPr="006D3CDC">
        <w:rPr>
          <w:rFonts w:ascii="Arial" w:hAnsi="Arial" w:cs="Arial"/>
          <w:sz w:val="22"/>
          <w:szCs w:val="22"/>
        </w:rPr>
        <w:t>status.</w:t>
      </w:r>
    </w:p>
    <w:p w14:paraId="428FBAD4" w14:textId="77777777" w:rsidR="00E04ABD" w:rsidRDefault="00E04ABD" w:rsidP="00E04ABD">
      <w:pPr>
        <w:spacing w:line="480" w:lineRule="auto"/>
        <w:rPr>
          <w:rFonts w:ascii="Arial" w:hAnsi="Arial" w:cs="Arial"/>
          <w:i/>
          <w:iCs/>
          <w:sz w:val="22"/>
          <w:szCs w:val="22"/>
        </w:rPr>
      </w:pPr>
    </w:p>
    <w:p w14:paraId="1EFF2312" w14:textId="77777777" w:rsidR="00E04ABD" w:rsidRDefault="00E04ABD" w:rsidP="00E04ABD">
      <w:pPr>
        <w:spacing w:line="480" w:lineRule="auto"/>
        <w:rPr>
          <w:rFonts w:ascii="Arial" w:hAnsi="Arial" w:cs="Arial"/>
          <w:sz w:val="22"/>
          <w:szCs w:val="22"/>
        </w:rPr>
      </w:pPr>
      <w:r w:rsidRPr="006D3CDC">
        <w:rPr>
          <w:rFonts w:ascii="Arial" w:hAnsi="Arial" w:cs="Arial"/>
          <w:i/>
          <w:iCs/>
          <w:sz w:val="22"/>
          <w:szCs w:val="22"/>
        </w:rPr>
        <w:t xml:space="preserve">Step </w:t>
      </w:r>
      <w:r>
        <w:rPr>
          <w:rFonts w:ascii="Arial" w:hAnsi="Arial" w:cs="Arial"/>
          <w:i/>
          <w:iCs/>
          <w:sz w:val="22"/>
          <w:szCs w:val="22"/>
        </w:rPr>
        <w:t>4</w:t>
      </w:r>
      <w:r w:rsidRPr="006D3CDC">
        <w:rPr>
          <w:rFonts w:ascii="Arial" w:hAnsi="Arial" w:cs="Arial"/>
          <w:sz w:val="22"/>
          <w:szCs w:val="22"/>
        </w:rPr>
        <w:t xml:space="preserve">: </w:t>
      </w:r>
      <w:r>
        <w:rPr>
          <w:rFonts w:ascii="Arial" w:hAnsi="Arial" w:cs="Arial"/>
          <w:sz w:val="22"/>
          <w:szCs w:val="22"/>
        </w:rPr>
        <w:t>F</w:t>
      </w:r>
      <w:r w:rsidRPr="006D3CDC">
        <w:rPr>
          <w:rFonts w:ascii="Arial" w:hAnsi="Arial" w:cs="Arial"/>
          <w:sz w:val="22"/>
          <w:szCs w:val="22"/>
        </w:rPr>
        <w:t xml:space="preserve">acility-level, risk-adjusted changes in </w:t>
      </w:r>
      <w:r>
        <w:rPr>
          <w:rFonts w:ascii="Arial" w:hAnsi="Arial" w:cs="Arial"/>
          <w:sz w:val="22"/>
          <w:szCs w:val="22"/>
        </w:rPr>
        <w:t>functional status</w:t>
      </w:r>
      <w:r w:rsidRPr="006D3CDC">
        <w:rPr>
          <w:rFonts w:ascii="Arial" w:hAnsi="Arial" w:cs="Arial"/>
          <w:sz w:val="22"/>
          <w:szCs w:val="22"/>
        </w:rPr>
        <w:t xml:space="preserve"> </w:t>
      </w:r>
      <w:r>
        <w:rPr>
          <w:rFonts w:ascii="Arial" w:hAnsi="Arial" w:cs="Arial"/>
          <w:sz w:val="22"/>
          <w:szCs w:val="22"/>
        </w:rPr>
        <w:t>were calculated using</w:t>
      </w:r>
      <w:r w:rsidRPr="006D3CDC">
        <w:rPr>
          <w:rFonts w:ascii="Arial" w:hAnsi="Arial" w:cs="Arial"/>
          <w:sz w:val="22"/>
          <w:szCs w:val="22"/>
        </w:rPr>
        <w:t xml:space="preserve"> the </w:t>
      </w:r>
      <w:r>
        <w:rPr>
          <w:rFonts w:ascii="Arial" w:hAnsi="Arial" w:cs="Arial"/>
          <w:sz w:val="22"/>
          <w:szCs w:val="22"/>
        </w:rPr>
        <w:t>process</w:t>
      </w:r>
      <w:r w:rsidRPr="006D3CDC">
        <w:rPr>
          <w:rFonts w:ascii="Arial" w:hAnsi="Arial" w:cs="Arial"/>
          <w:sz w:val="22"/>
          <w:szCs w:val="22"/>
        </w:rPr>
        <w:t xml:space="preserve"> used by CMS to calculate </w:t>
      </w:r>
      <w:r>
        <w:rPr>
          <w:rFonts w:ascii="Arial" w:hAnsi="Arial" w:cs="Arial"/>
          <w:sz w:val="22"/>
          <w:szCs w:val="22"/>
        </w:rPr>
        <w:t>these</w:t>
      </w:r>
      <w:r w:rsidRPr="006D3CDC">
        <w:rPr>
          <w:rFonts w:ascii="Arial" w:hAnsi="Arial" w:cs="Arial"/>
          <w:sz w:val="22"/>
          <w:szCs w:val="22"/>
        </w:rPr>
        <w:t xml:space="preserve"> measures for SNFs.</w:t>
      </w:r>
      <w:r w:rsidRPr="006D3CDC">
        <w:rPr>
          <w:rFonts w:ascii="Arial" w:hAnsi="Arial" w:cs="Arial"/>
          <w:sz w:val="22"/>
          <w:szCs w:val="22"/>
        </w:rPr>
        <w:fldChar w:fldCharType="begin" w:fldLock="1"/>
      </w:r>
      <w:r w:rsidRPr="006D3CDC">
        <w:rPr>
          <w:rFonts w:ascii="Arial" w:hAnsi="Arial" w:cs="Arial"/>
          <w:sz w:val="22"/>
          <w:szCs w:val="22"/>
        </w:rPr>
        <w:instrText>ADDIN CSL_CITATION {"citationItems":[{"id":"ITEM-1","itemData":{"author":[{"dropping-particle":"","family":"International","given":"RTI","non-dropping-particle":"","parse-names":false,"suffix":""}],"id":"ITEM-1","issue":"August","issued":{"date-parts":[["2018"]]},"title":"Specifications for the Function Quality Measures Adopted in the Skilled Nursing Facility Quality Reporting Program","type":"article-journal"},"uris":["http://www.mendeley.com/documents/?uuid=fbef1a1c-95e0-4be0-8461-9b5a1f825a52"]}],"mendeley":{"formattedCitation":"&lt;sup&gt;4&lt;/sup&gt;","plainTextFormattedCitation":"4","previouslyFormattedCitation":"&lt;sup&gt;4&lt;/sup&gt;"},"properties":{"noteIndex":0},"schema":"https://github.com/citation-style-language/schema/raw/master/csl-citation.json"}</w:instrText>
      </w:r>
      <w:r w:rsidRPr="006D3CDC">
        <w:rPr>
          <w:rFonts w:ascii="Arial" w:hAnsi="Arial" w:cs="Arial"/>
          <w:sz w:val="22"/>
          <w:szCs w:val="22"/>
        </w:rPr>
        <w:fldChar w:fldCharType="separate"/>
      </w:r>
      <w:r w:rsidRPr="006D3CDC">
        <w:rPr>
          <w:rFonts w:ascii="Arial" w:hAnsi="Arial" w:cs="Arial"/>
          <w:noProof/>
          <w:sz w:val="22"/>
          <w:szCs w:val="22"/>
          <w:vertAlign w:val="superscript"/>
        </w:rPr>
        <w:t>4</w:t>
      </w:r>
      <w:r w:rsidRPr="006D3CDC">
        <w:rPr>
          <w:rFonts w:ascii="Arial" w:hAnsi="Arial" w:cs="Arial"/>
          <w:sz w:val="22"/>
          <w:szCs w:val="22"/>
        </w:rPr>
        <w:fldChar w:fldCharType="end"/>
      </w:r>
      <w:r w:rsidRPr="006D3CDC">
        <w:rPr>
          <w:rFonts w:ascii="Arial" w:hAnsi="Arial" w:cs="Arial"/>
          <w:sz w:val="22"/>
          <w:szCs w:val="22"/>
        </w:rPr>
        <w:t xml:space="preserve"> Specifically, for each CAH, </w:t>
      </w:r>
      <w:r>
        <w:rPr>
          <w:rFonts w:ascii="Arial" w:hAnsi="Arial" w:cs="Arial"/>
          <w:sz w:val="22"/>
          <w:szCs w:val="22"/>
        </w:rPr>
        <w:t>the</w:t>
      </w:r>
      <w:r w:rsidRPr="006D3CDC">
        <w:rPr>
          <w:rFonts w:ascii="Arial" w:hAnsi="Arial" w:cs="Arial"/>
          <w:sz w:val="22"/>
          <w:szCs w:val="22"/>
        </w:rPr>
        <w:t xml:space="preserve"> difference between the facility-level observed and expected changes in functional status</w:t>
      </w:r>
      <w:r>
        <w:rPr>
          <w:rFonts w:ascii="Arial" w:hAnsi="Arial" w:cs="Arial"/>
          <w:sz w:val="22"/>
          <w:szCs w:val="22"/>
        </w:rPr>
        <w:t xml:space="preserve"> was calculated and</w:t>
      </w:r>
      <w:r w:rsidRPr="006D3CDC">
        <w:rPr>
          <w:rFonts w:ascii="Arial" w:hAnsi="Arial" w:cs="Arial"/>
          <w:sz w:val="22"/>
          <w:szCs w:val="22"/>
        </w:rPr>
        <w:t xml:space="preserve"> then added t</w:t>
      </w:r>
      <w:r>
        <w:rPr>
          <w:rFonts w:ascii="Arial" w:hAnsi="Arial" w:cs="Arial"/>
          <w:sz w:val="22"/>
          <w:szCs w:val="22"/>
        </w:rPr>
        <w:t>o t</w:t>
      </w:r>
      <w:r w:rsidRPr="006D3CDC">
        <w:rPr>
          <w:rFonts w:ascii="Arial" w:hAnsi="Arial" w:cs="Arial"/>
          <w:sz w:val="22"/>
          <w:szCs w:val="22"/>
        </w:rPr>
        <w:t>he 14-state sample changes from Step 4</w:t>
      </w:r>
      <w:r>
        <w:rPr>
          <w:rFonts w:ascii="Arial" w:hAnsi="Arial" w:cs="Arial"/>
          <w:sz w:val="22"/>
          <w:szCs w:val="22"/>
        </w:rPr>
        <w:t>.</w:t>
      </w:r>
    </w:p>
    <w:p w14:paraId="3CF12B07" w14:textId="77777777" w:rsidR="00E04ABD" w:rsidRDefault="00E04ABD" w:rsidP="00E04ABD">
      <w:pPr>
        <w:spacing w:line="480" w:lineRule="auto"/>
        <w:rPr>
          <w:rFonts w:ascii="Arial" w:hAnsi="Arial" w:cs="Arial"/>
          <w:sz w:val="22"/>
          <w:szCs w:val="22"/>
        </w:rPr>
      </w:pPr>
    </w:p>
    <w:p w14:paraId="0B0C7BF2" w14:textId="77777777" w:rsidR="00E04ABD" w:rsidRDefault="00E04ABD" w:rsidP="00E04ABD">
      <w:pPr>
        <w:spacing w:line="480" w:lineRule="auto"/>
        <w:rPr>
          <w:rFonts w:ascii="Arial" w:hAnsi="Arial" w:cs="Arial"/>
          <w:sz w:val="22"/>
          <w:szCs w:val="22"/>
        </w:rPr>
      </w:pPr>
      <m:oMathPara>
        <m:oMath>
          <m:r>
            <w:rPr>
              <w:rFonts w:ascii="Cambria Math" w:hAnsi="Cambria Math" w:cs="Arial"/>
              <w:sz w:val="22"/>
              <w:szCs w:val="22"/>
            </w:rPr>
            <m:t>(observed change-expected change)+ sample change=risk adjusted change</m:t>
          </m:r>
        </m:oMath>
      </m:oMathPara>
    </w:p>
    <w:p w14:paraId="78FBA291" w14:textId="77777777" w:rsidR="00E04ABD" w:rsidRDefault="00E04ABD" w:rsidP="00E04ABD">
      <w:pPr>
        <w:spacing w:line="480" w:lineRule="auto"/>
        <w:rPr>
          <w:rFonts w:ascii="Arial" w:hAnsi="Arial" w:cs="Arial"/>
          <w:sz w:val="22"/>
          <w:szCs w:val="22"/>
        </w:rPr>
      </w:pPr>
    </w:p>
    <w:p w14:paraId="68988298" w14:textId="77777777" w:rsidR="00E04ABD" w:rsidRDefault="00E04ABD" w:rsidP="00E04ABD">
      <w:pPr>
        <w:spacing w:line="480" w:lineRule="auto"/>
        <w:rPr>
          <w:rFonts w:ascii="Arial" w:hAnsi="Arial" w:cs="Arial"/>
          <w:sz w:val="22"/>
          <w:szCs w:val="22"/>
        </w:rPr>
      </w:pPr>
      <w:r>
        <w:rPr>
          <w:rFonts w:ascii="Arial" w:hAnsi="Arial" w:cs="Arial"/>
          <w:sz w:val="22"/>
          <w:szCs w:val="22"/>
        </w:rPr>
        <w:t>Finally</w:t>
      </w:r>
      <w:r w:rsidRPr="006D3CDC">
        <w:rPr>
          <w:rFonts w:ascii="Arial" w:hAnsi="Arial" w:cs="Arial"/>
          <w:sz w:val="22"/>
          <w:szCs w:val="22"/>
        </w:rPr>
        <w:t xml:space="preserve">, the mean of the facility-level, risk-adjusted changes </w:t>
      </w:r>
      <w:r>
        <w:rPr>
          <w:rFonts w:ascii="Arial" w:hAnsi="Arial" w:cs="Arial"/>
          <w:sz w:val="22"/>
          <w:szCs w:val="22"/>
        </w:rPr>
        <w:t xml:space="preserve">in </w:t>
      </w:r>
      <w:r w:rsidRPr="006D3CDC">
        <w:rPr>
          <w:rFonts w:ascii="Arial" w:hAnsi="Arial" w:cs="Arial"/>
          <w:sz w:val="22"/>
          <w:szCs w:val="22"/>
        </w:rPr>
        <w:t>functional status</w:t>
      </w:r>
      <w:r>
        <w:rPr>
          <w:rFonts w:ascii="Arial" w:hAnsi="Arial" w:cs="Arial"/>
          <w:sz w:val="22"/>
          <w:szCs w:val="22"/>
        </w:rPr>
        <w:t xml:space="preserve"> was calculated. The mean among all CAHs in the sample </w:t>
      </w:r>
      <w:r w:rsidRPr="006D3CDC">
        <w:rPr>
          <w:rFonts w:ascii="Arial" w:hAnsi="Arial" w:cs="Arial"/>
          <w:sz w:val="22"/>
          <w:szCs w:val="22"/>
        </w:rPr>
        <w:t xml:space="preserve">can be used for comparison with </w:t>
      </w:r>
      <w:r>
        <w:rPr>
          <w:rFonts w:ascii="Arial" w:hAnsi="Arial" w:cs="Arial"/>
          <w:sz w:val="22"/>
          <w:szCs w:val="22"/>
        </w:rPr>
        <w:t>those</w:t>
      </w:r>
      <w:r w:rsidRPr="006D3CDC">
        <w:rPr>
          <w:rFonts w:ascii="Arial" w:hAnsi="Arial" w:cs="Arial"/>
          <w:sz w:val="22"/>
          <w:szCs w:val="22"/>
        </w:rPr>
        <w:t xml:space="preserve"> of </w:t>
      </w:r>
      <w:r>
        <w:rPr>
          <w:rFonts w:ascii="Arial" w:hAnsi="Arial" w:cs="Arial"/>
          <w:sz w:val="22"/>
          <w:szCs w:val="22"/>
        </w:rPr>
        <w:t>other post-acute facilities such as SNFs.</w:t>
      </w:r>
    </w:p>
    <w:p w14:paraId="3DD6ED0B" w14:textId="77777777" w:rsidR="00E04ABD" w:rsidRDefault="00E04ABD" w:rsidP="00E04ABD">
      <w:pPr>
        <w:spacing w:line="480" w:lineRule="auto"/>
        <w:rPr>
          <w:rFonts w:ascii="Arial" w:hAnsi="Arial" w:cs="Arial"/>
          <w:sz w:val="22"/>
          <w:szCs w:val="22"/>
        </w:rPr>
      </w:pPr>
    </w:p>
    <w:p w14:paraId="79508114" w14:textId="70C29A27" w:rsidR="00E04ABD" w:rsidRPr="004C4E3C" w:rsidRDefault="00E04ABD" w:rsidP="00E04ABD">
      <w:pPr>
        <w:spacing w:line="480" w:lineRule="auto"/>
        <w:rPr>
          <w:rFonts w:ascii="Arial" w:hAnsi="Arial" w:cs="Arial"/>
          <w:sz w:val="22"/>
          <w:szCs w:val="22"/>
        </w:rPr>
      </w:pPr>
      <w:r w:rsidRPr="006D3CDC">
        <w:rPr>
          <w:rFonts w:ascii="Arial" w:hAnsi="Arial" w:cs="Arial"/>
          <w:sz w:val="22"/>
          <w:szCs w:val="22"/>
        </w:rPr>
        <w:t xml:space="preserve">For </w:t>
      </w:r>
      <w:r w:rsidR="006A4D0A">
        <w:rPr>
          <w:rFonts w:ascii="Arial" w:hAnsi="Arial" w:cs="Arial"/>
          <w:sz w:val="22"/>
          <w:szCs w:val="22"/>
        </w:rPr>
        <w:t xml:space="preserve">30-day hospital </w:t>
      </w:r>
      <w:r w:rsidRPr="006D3CDC">
        <w:rPr>
          <w:rFonts w:ascii="Arial" w:hAnsi="Arial" w:cs="Arial"/>
          <w:sz w:val="22"/>
          <w:szCs w:val="22"/>
        </w:rPr>
        <w:t>readmission rates</w:t>
      </w:r>
      <w:r w:rsidR="006A4D0A">
        <w:rPr>
          <w:rFonts w:ascii="Arial" w:hAnsi="Arial" w:cs="Arial"/>
          <w:sz w:val="22"/>
          <w:szCs w:val="22"/>
        </w:rPr>
        <w:t xml:space="preserve"> after swing bed dis</w:t>
      </w:r>
      <w:r w:rsidR="00383607">
        <w:rPr>
          <w:rFonts w:ascii="Arial" w:hAnsi="Arial" w:cs="Arial"/>
          <w:sz w:val="22"/>
          <w:szCs w:val="22"/>
        </w:rPr>
        <w:t>c</w:t>
      </w:r>
      <w:r w:rsidR="006A4D0A">
        <w:rPr>
          <w:rFonts w:ascii="Arial" w:hAnsi="Arial" w:cs="Arial"/>
          <w:sz w:val="22"/>
          <w:szCs w:val="22"/>
        </w:rPr>
        <w:t>harge</w:t>
      </w:r>
      <w:r w:rsidRPr="006D3CDC">
        <w:rPr>
          <w:rFonts w:ascii="Arial" w:hAnsi="Arial" w:cs="Arial"/>
          <w:sz w:val="22"/>
          <w:szCs w:val="22"/>
        </w:rPr>
        <w:t xml:space="preserve">, </w:t>
      </w:r>
      <w:r>
        <w:rPr>
          <w:rFonts w:ascii="Arial" w:hAnsi="Arial" w:cs="Arial"/>
          <w:sz w:val="22"/>
          <w:szCs w:val="22"/>
        </w:rPr>
        <w:t>the</w:t>
      </w:r>
      <w:r w:rsidRPr="006D3CDC">
        <w:rPr>
          <w:rFonts w:ascii="Arial" w:hAnsi="Arial" w:cs="Arial"/>
          <w:sz w:val="22"/>
          <w:szCs w:val="22"/>
        </w:rPr>
        <w:t xml:space="preserve"> r</w:t>
      </w:r>
      <w:r>
        <w:rPr>
          <w:rFonts w:ascii="Arial" w:hAnsi="Arial" w:cs="Arial"/>
          <w:sz w:val="22"/>
          <w:szCs w:val="22"/>
        </w:rPr>
        <w:t>isk adjustment procedure followed</w:t>
      </w:r>
      <w:r w:rsidRPr="006D3CDC">
        <w:rPr>
          <w:rFonts w:ascii="Arial" w:hAnsi="Arial" w:cs="Arial"/>
          <w:sz w:val="22"/>
          <w:szCs w:val="22"/>
        </w:rPr>
        <w:t xml:space="preserve"> similar steps</w:t>
      </w:r>
      <w:r>
        <w:rPr>
          <w:rFonts w:ascii="Arial" w:hAnsi="Arial" w:cs="Arial"/>
          <w:sz w:val="22"/>
          <w:szCs w:val="22"/>
        </w:rPr>
        <w:t xml:space="preserve"> to the risk adjustment procedure used</w:t>
      </w:r>
      <w:r w:rsidRPr="006D3CDC">
        <w:rPr>
          <w:rFonts w:ascii="Arial" w:hAnsi="Arial" w:cs="Arial"/>
          <w:sz w:val="22"/>
          <w:szCs w:val="22"/>
        </w:rPr>
        <w:t xml:space="preserve"> for </w:t>
      </w:r>
      <w:r>
        <w:rPr>
          <w:rFonts w:ascii="Arial" w:hAnsi="Arial" w:cs="Arial"/>
          <w:sz w:val="22"/>
          <w:szCs w:val="22"/>
        </w:rPr>
        <w:t xml:space="preserve">the </w:t>
      </w:r>
      <w:r w:rsidRPr="006D3CDC">
        <w:rPr>
          <w:rFonts w:ascii="Arial" w:hAnsi="Arial" w:cs="Arial"/>
          <w:sz w:val="22"/>
          <w:szCs w:val="22"/>
        </w:rPr>
        <w:t xml:space="preserve">change in functional status. </w:t>
      </w:r>
      <w:r>
        <w:rPr>
          <w:rFonts w:ascii="Arial" w:hAnsi="Arial" w:cs="Arial"/>
          <w:sz w:val="22"/>
          <w:szCs w:val="22"/>
        </w:rPr>
        <w:t>A g</w:t>
      </w:r>
      <w:r w:rsidRPr="006D3CDC">
        <w:rPr>
          <w:rFonts w:ascii="Arial" w:hAnsi="Arial" w:cs="Arial"/>
          <w:sz w:val="22"/>
          <w:szCs w:val="22"/>
        </w:rPr>
        <w:t xml:space="preserve">eneralized linear model with GEE </w:t>
      </w:r>
      <w:r>
        <w:rPr>
          <w:rFonts w:ascii="Arial" w:hAnsi="Arial" w:cs="Arial"/>
          <w:sz w:val="22"/>
          <w:szCs w:val="22"/>
        </w:rPr>
        <w:t xml:space="preserve">was created </w:t>
      </w:r>
      <w:r w:rsidRPr="006D3CDC">
        <w:rPr>
          <w:rFonts w:ascii="Arial" w:hAnsi="Arial" w:cs="Arial"/>
          <w:sz w:val="22"/>
          <w:szCs w:val="22"/>
        </w:rPr>
        <w:t xml:space="preserve">to predict the probability of readmission for CAH </w:t>
      </w:r>
      <w:r w:rsidR="00436120">
        <w:rPr>
          <w:rFonts w:ascii="Arial" w:hAnsi="Arial" w:cs="Arial"/>
          <w:sz w:val="22"/>
          <w:szCs w:val="22"/>
        </w:rPr>
        <w:t>swing bed</w:t>
      </w:r>
      <w:r w:rsidRPr="006D3CDC">
        <w:rPr>
          <w:rFonts w:ascii="Arial" w:hAnsi="Arial" w:cs="Arial"/>
          <w:sz w:val="22"/>
          <w:szCs w:val="22"/>
        </w:rPr>
        <w:t xml:space="preserve"> patients. Specifications of the readmission model resembled the change in functional status models, except </w:t>
      </w:r>
      <w:r>
        <w:rPr>
          <w:rFonts w:ascii="Arial" w:hAnsi="Arial" w:cs="Arial"/>
          <w:sz w:val="22"/>
          <w:szCs w:val="22"/>
        </w:rPr>
        <w:t>for the use of</w:t>
      </w:r>
      <w:r w:rsidRPr="006D3CDC">
        <w:rPr>
          <w:rFonts w:ascii="Arial" w:hAnsi="Arial" w:cs="Arial"/>
          <w:sz w:val="22"/>
          <w:szCs w:val="22"/>
        </w:rPr>
        <w:t xml:space="preserve"> the </w:t>
      </w:r>
      <w:r>
        <w:rPr>
          <w:rFonts w:ascii="Arial" w:hAnsi="Arial" w:cs="Arial"/>
          <w:sz w:val="22"/>
          <w:szCs w:val="22"/>
        </w:rPr>
        <w:t>l</w:t>
      </w:r>
      <w:r w:rsidRPr="006D3CDC">
        <w:rPr>
          <w:rFonts w:ascii="Arial" w:hAnsi="Arial" w:cs="Arial"/>
          <w:sz w:val="22"/>
          <w:szCs w:val="22"/>
        </w:rPr>
        <w:t xml:space="preserve">ogit link to accommodate the binary outcome. Figure </w:t>
      </w:r>
      <w:r>
        <w:rPr>
          <w:rFonts w:ascii="Arial" w:hAnsi="Arial" w:cs="Arial"/>
          <w:sz w:val="22"/>
          <w:szCs w:val="22"/>
        </w:rPr>
        <w:t>A2</w:t>
      </w:r>
      <w:r w:rsidRPr="006D3CDC">
        <w:rPr>
          <w:rFonts w:ascii="Arial" w:hAnsi="Arial" w:cs="Arial"/>
          <w:sz w:val="22"/>
          <w:szCs w:val="22"/>
        </w:rPr>
        <w:t xml:space="preserve"> shows the exclusion scheme used to arrive at</w:t>
      </w:r>
      <w:r>
        <w:rPr>
          <w:rFonts w:ascii="Arial" w:hAnsi="Arial" w:cs="Arial"/>
          <w:sz w:val="22"/>
          <w:szCs w:val="22"/>
        </w:rPr>
        <w:t xml:space="preserve"> the</w:t>
      </w:r>
      <w:r w:rsidRPr="006D3CDC">
        <w:rPr>
          <w:rFonts w:ascii="Arial" w:hAnsi="Arial" w:cs="Arial"/>
          <w:sz w:val="22"/>
          <w:szCs w:val="22"/>
        </w:rPr>
        <w:t xml:space="preserve"> final analytical sample (N=5,349; 63.5% of the original sample). Similar to the change in functional status models, non-Medicare patients</w:t>
      </w:r>
      <w:r>
        <w:rPr>
          <w:rFonts w:ascii="Arial" w:hAnsi="Arial" w:cs="Arial"/>
          <w:sz w:val="22"/>
          <w:szCs w:val="22"/>
        </w:rPr>
        <w:t xml:space="preserve"> were not excluded</w:t>
      </w:r>
      <w:r w:rsidRPr="006D3CDC">
        <w:rPr>
          <w:rFonts w:ascii="Arial" w:hAnsi="Arial" w:cs="Arial"/>
          <w:sz w:val="22"/>
          <w:szCs w:val="22"/>
        </w:rPr>
        <w:t>.</w:t>
      </w:r>
    </w:p>
    <w:p w14:paraId="2074E46A" w14:textId="77777777" w:rsidR="00E04ABD" w:rsidRDefault="00E04ABD" w:rsidP="00E04ABD">
      <w:pPr>
        <w:spacing w:line="480" w:lineRule="auto"/>
        <w:rPr>
          <w:rFonts w:ascii="Arial" w:hAnsi="Arial" w:cs="Arial"/>
          <w:sz w:val="22"/>
          <w:szCs w:val="22"/>
        </w:rPr>
      </w:pPr>
    </w:p>
    <w:p w14:paraId="3F6B6BA2" w14:textId="24665E7F" w:rsidR="00E04ABD" w:rsidRPr="006D3CDC" w:rsidRDefault="00E04ABD" w:rsidP="00E04ABD">
      <w:pPr>
        <w:spacing w:line="480" w:lineRule="auto"/>
        <w:rPr>
          <w:rFonts w:ascii="Arial" w:hAnsi="Arial" w:cs="Arial"/>
          <w:sz w:val="22"/>
          <w:szCs w:val="22"/>
        </w:rPr>
      </w:pPr>
      <w:r w:rsidRPr="006D3CDC">
        <w:rPr>
          <w:rFonts w:ascii="Arial" w:hAnsi="Arial" w:cs="Arial"/>
          <w:sz w:val="22"/>
          <w:szCs w:val="22"/>
        </w:rPr>
        <w:t>Risk adjustors included in the CMS readmission model were extensive, including close to 300 variables abstracted from patient’s claims records (e.g., age, sex, history of acute care hospitalization in the past year, history of care received in intensive care units, disability status, end-stage renal disease status, and a host of medical diagnoses and comorbidities) and from the MDS 3.0 assessment (e.g., functional status, treatments provided during the SNF stay).</w:t>
      </w:r>
      <w:r w:rsidRPr="006D3CDC">
        <w:rPr>
          <w:rFonts w:ascii="Arial" w:hAnsi="Arial" w:cs="Arial"/>
          <w:sz w:val="22"/>
          <w:szCs w:val="22"/>
        </w:rPr>
        <w:fldChar w:fldCharType="begin" w:fldLock="1"/>
      </w:r>
      <w:r>
        <w:rPr>
          <w:rFonts w:ascii="Arial" w:hAnsi="Arial" w:cs="Arial"/>
          <w:sz w:val="22"/>
          <w:szCs w:val="22"/>
        </w:rPr>
        <w:instrText>ADDIN CSL_CITATION {"citationItems":[{"id":"ITEM-1","itemData":{"author":[{"dropping-particle":"","family":"Abt Associates","given":"","non-dropping-particle":"","parse-names":false,"suffix":""}],"id":"ITEM-1","issued":{"date-parts":[["2018"]]},"title":"Nursing Home Compare Quality Measure Technical Specifications Final - Appendices","type":"article-journal"},"uris":["http://www.mendeley.com/documents/?uuid=cbb1e914-1363-4a66-8790-aaca6685c5fb"]}],"mendeley":{"formattedCitation":"&lt;sup&gt;6&lt;/sup&gt;","plainTextFormattedCitation":"6","previouslyFormattedCitation":"&lt;sup&gt;6&lt;/sup&gt;"},"properties":{"noteIndex":0},"schema":"https://github.com/citation-style-language/schema/raw/master/csl-citation.json"}</w:instrText>
      </w:r>
      <w:r w:rsidRPr="006D3CDC">
        <w:rPr>
          <w:rFonts w:ascii="Arial" w:hAnsi="Arial" w:cs="Arial"/>
          <w:sz w:val="22"/>
          <w:szCs w:val="22"/>
        </w:rPr>
        <w:fldChar w:fldCharType="separate"/>
      </w:r>
      <w:r w:rsidRPr="00D13A04">
        <w:rPr>
          <w:rFonts w:ascii="Arial" w:hAnsi="Arial" w:cs="Arial"/>
          <w:noProof/>
          <w:sz w:val="22"/>
          <w:szCs w:val="22"/>
          <w:vertAlign w:val="superscript"/>
        </w:rPr>
        <w:t>6</w:t>
      </w:r>
      <w:r w:rsidRPr="006D3CDC">
        <w:rPr>
          <w:rFonts w:ascii="Arial" w:hAnsi="Arial" w:cs="Arial"/>
          <w:sz w:val="22"/>
          <w:szCs w:val="22"/>
        </w:rPr>
        <w:fldChar w:fldCharType="end"/>
      </w:r>
      <w:r w:rsidRPr="006D3CDC">
        <w:rPr>
          <w:rFonts w:ascii="Arial" w:hAnsi="Arial" w:cs="Arial"/>
          <w:sz w:val="22"/>
          <w:szCs w:val="22"/>
        </w:rPr>
        <w:t xml:space="preserve"> Table </w:t>
      </w:r>
      <w:r>
        <w:rPr>
          <w:rFonts w:ascii="Arial" w:hAnsi="Arial" w:cs="Arial"/>
          <w:sz w:val="22"/>
          <w:szCs w:val="22"/>
        </w:rPr>
        <w:t>A</w:t>
      </w:r>
      <w:r w:rsidRPr="006D3CDC">
        <w:rPr>
          <w:rFonts w:ascii="Arial" w:hAnsi="Arial" w:cs="Arial"/>
          <w:sz w:val="22"/>
          <w:szCs w:val="22"/>
        </w:rPr>
        <w:t xml:space="preserve">4 shows the risk adjustors, their coefficients, and their significance level for </w:t>
      </w:r>
      <w:r>
        <w:rPr>
          <w:rFonts w:ascii="Arial" w:hAnsi="Arial" w:cs="Arial"/>
          <w:sz w:val="22"/>
          <w:szCs w:val="22"/>
        </w:rPr>
        <w:t>the</w:t>
      </w:r>
      <w:r w:rsidRPr="006D3CDC">
        <w:rPr>
          <w:rFonts w:ascii="Arial" w:hAnsi="Arial" w:cs="Arial"/>
          <w:sz w:val="22"/>
          <w:szCs w:val="22"/>
        </w:rPr>
        <w:t xml:space="preserve"> readmission model. Consistent with the CMS model, </w:t>
      </w:r>
      <w:r>
        <w:rPr>
          <w:rFonts w:ascii="Arial" w:hAnsi="Arial" w:cs="Arial"/>
          <w:sz w:val="22"/>
          <w:szCs w:val="22"/>
        </w:rPr>
        <w:t>adjustments were made</w:t>
      </w:r>
      <w:r w:rsidRPr="006D3CDC">
        <w:rPr>
          <w:rFonts w:ascii="Arial" w:hAnsi="Arial" w:cs="Arial"/>
          <w:sz w:val="22"/>
          <w:szCs w:val="22"/>
        </w:rPr>
        <w:t xml:space="preserve"> for patient’s age, length of stay, cognitive status (based on the BIMS score), and ability to make oneself understood. For primary diagnoses and comorbidities, only those that are common among </w:t>
      </w:r>
      <w:r w:rsidR="00436120">
        <w:rPr>
          <w:rFonts w:ascii="Arial" w:hAnsi="Arial" w:cs="Arial"/>
          <w:sz w:val="22"/>
          <w:szCs w:val="22"/>
        </w:rPr>
        <w:t>swing bed</w:t>
      </w:r>
      <w:r w:rsidRPr="006D3CDC">
        <w:rPr>
          <w:rFonts w:ascii="Arial" w:hAnsi="Arial" w:cs="Arial"/>
          <w:sz w:val="22"/>
          <w:szCs w:val="22"/>
        </w:rPr>
        <w:t xml:space="preserve"> patients were included in </w:t>
      </w:r>
      <w:r>
        <w:rPr>
          <w:rFonts w:ascii="Arial" w:hAnsi="Arial" w:cs="Arial"/>
          <w:sz w:val="22"/>
          <w:szCs w:val="22"/>
        </w:rPr>
        <w:t>the</w:t>
      </w:r>
      <w:r w:rsidRPr="006D3CDC">
        <w:rPr>
          <w:rFonts w:ascii="Arial" w:hAnsi="Arial" w:cs="Arial"/>
          <w:sz w:val="22"/>
          <w:szCs w:val="22"/>
        </w:rPr>
        <w:t xml:space="preserve"> model. In lieu of the assessment of dependency with respect to activities of daily living and walking ability </w:t>
      </w:r>
      <w:r>
        <w:rPr>
          <w:rFonts w:ascii="Arial" w:hAnsi="Arial" w:cs="Arial"/>
          <w:sz w:val="22"/>
          <w:szCs w:val="22"/>
        </w:rPr>
        <w:t>included</w:t>
      </w:r>
      <w:r w:rsidRPr="006D3CDC">
        <w:rPr>
          <w:rFonts w:ascii="Arial" w:hAnsi="Arial" w:cs="Arial"/>
          <w:sz w:val="22"/>
          <w:szCs w:val="22"/>
        </w:rPr>
        <w:t xml:space="preserve"> in the CMS model, the summary score of the self-care and mobility assessment</w:t>
      </w:r>
      <w:r>
        <w:rPr>
          <w:rFonts w:ascii="Arial" w:hAnsi="Arial" w:cs="Arial"/>
          <w:sz w:val="22"/>
          <w:szCs w:val="22"/>
        </w:rPr>
        <w:t>s were used</w:t>
      </w:r>
      <w:r w:rsidRPr="006D3CDC">
        <w:rPr>
          <w:rFonts w:ascii="Arial" w:hAnsi="Arial" w:cs="Arial"/>
          <w:sz w:val="22"/>
          <w:szCs w:val="22"/>
        </w:rPr>
        <w:t>. The score</w:t>
      </w:r>
      <w:r>
        <w:rPr>
          <w:rFonts w:ascii="Arial" w:hAnsi="Arial" w:cs="Arial"/>
          <w:sz w:val="22"/>
          <w:szCs w:val="22"/>
        </w:rPr>
        <w:t>s</w:t>
      </w:r>
      <w:r w:rsidRPr="006D3CDC">
        <w:rPr>
          <w:rFonts w:ascii="Arial" w:hAnsi="Arial" w:cs="Arial"/>
          <w:sz w:val="22"/>
          <w:szCs w:val="22"/>
        </w:rPr>
        <w:t xml:space="preserve"> </w:t>
      </w:r>
      <w:r>
        <w:rPr>
          <w:rFonts w:ascii="Arial" w:hAnsi="Arial" w:cs="Arial"/>
          <w:sz w:val="22"/>
          <w:szCs w:val="22"/>
        </w:rPr>
        <w:t xml:space="preserve">assessed at </w:t>
      </w:r>
      <w:r w:rsidRPr="006D3CDC">
        <w:rPr>
          <w:rFonts w:ascii="Arial" w:hAnsi="Arial" w:cs="Arial"/>
          <w:sz w:val="22"/>
          <w:szCs w:val="22"/>
        </w:rPr>
        <w:t xml:space="preserve">discharge were used instead of </w:t>
      </w:r>
      <w:r>
        <w:rPr>
          <w:rFonts w:ascii="Arial" w:hAnsi="Arial" w:cs="Arial"/>
          <w:sz w:val="22"/>
          <w:szCs w:val="22"/>
        </w:rPr>
        <w:t xml:space="preserve">those from </w:t>
      </w:r>
      <w:r w:rsidRPr="006D3CDC">
        <w:rPr>
          <w:rFonts w:ascii="Arial" w:hAnsi="Arial" w:cs="Arial"/>
          <w:sz w:val="22"/>
          <w:szCs w:val="22"/>
        </w:rPr>
        <w:t>admission because the former are more likely to predict readmission. Lastly, adjust</w:t>
      </w:r>
      <w:r>
        <w:rPr>
          <w:rFonts w:ascii="Arial" w:hAnsi="Arial" w:cs="Arial"/>
          <w:sz w:val="22"/>
          <w:szCs w:val="22"/>
        </w:rPr>
        <w:t>ments</w:t>
      </w:r>
      <w:r w:rsidRPr="006D3CDC">
        <w:rPr>
          <w:rFonts w:ascii="Arial" w:hAnsi="Arial" w:cs="Arial"/>
          <w:sz w:val="22"/>
          <w:szCs w:val="22"/>
        </w:rPr>
        <w:t xml:space="preserve"> for an extensive list of procedures </w:t>
      </w:r>
      <w:r>
        <w:rPr>
          <w:rFonts w:ascii="Arial" w:hAnsi="Arial" w:cs="Arial"/>
          <w:sz w:val="22"/>
          <w:szCs w:val="22"/>
        </w:rPr>
        <w:t xml:space="preserve">the </w:t>
      </w:r>
      <w:r w:rsidRPr="006D3CDC">
        <w:rPr>
          <w:rFonts w:ascii="Arial" w:hAnsi="Arial" w:cs="Arial"/>
          <w:sz w:val="22"/>
          <w:szCs w:val="22"/>
        </w:rPr>
        <w:t xml:space="preserve">patient received during the stay </w:t>
      </w:r>
      <w:r>
        <w:rPr>
          <w:rFonts w:ascii="Arial" w:hAnsi="Arial" w:cs="Arial"/>
          <w:sz w:val="22"/>
          <w:szCs w:val="22"/>
        </w:rPr>
        <w:t xml:space="preserve">were not made </w:t>
      </w:r>
      <w:r w:rsidRPr="006D3CDC">
        <w:rPr>
          <w:rFonts w:ascii="Arial" w:hAnsi="Arial" w:cs="Arial"/>
          <w:sz w:val="22"/>
          <w:szCs w:val="22"/>
        </w:rPr>
        <w:t xml:space="preserve">except for parenteral and/or tube feeding </w:t>
      </w:r>
      <w:r>
        <w:rPr>
          <w:rFonts w:ascii="Arial" w:hAnsi="Arial" w:cs="Arial"/>
          <w:sz w:val="22"/>
          <w:szCs w:val="22"/>
        </w:rPr>
        <w:t>since</w:t>
      </w:r>
      <w:r w:rsidRPr="006D3CDC">
        <w:rPr>
          <w:rFonts w:ascii="Arial" w:hAnsi="Arial" w:cs="Arial"/>
          <w:sz w:val="22"/>
          <w:szCs w:val="22"/>
        </w:rPr>
        <w:t xml:space="preserve"> th</w:t>
      </w:r>
      <w:r>
        <w:rPr>
          <w:rFonts w:ascii="Arial" w:hAnsi="Arial" w:cs="Arial"/>
          <w:sz w:val="22"/>
          <w:szCs w:val="22"/>
        </w:rPr>
        <w:t>e</w:t>
      </w:r>
      <w:r w:rsidRPr="006D3CDC">
        <w:rPr>
          <w:rFonts w:ascii="Arial" w:hAnsi="Arial" w:cs="Arial"/>
          <w:sz w:val="22"/>
          <w:szCs w:val="22"/>
        </w:rPr>
        <w:t>se data we</w:t>
      </w:r>
      <w:r>
        <w:rPr>
          <w:rFonts w:ascii="Arial" w:hAnsi="Arial" w:cs="Arial"/>
          <w:sz w:val="22"/>
          <w:szCs w:val="22"/>
        </w:rPr>
        <w:t xml:space="preserve">re not collected in the field test data collection forms. </w:t>
      </w:r>
      <w:r w:rsidRPr="006D3CDC">
        <w:rPr>
          <w:rFonts w:ascii="Arial" w:hAnsi="Arial" w:cs="Arial"/>
          <w:sz w:val="22"/>
          <w:szCs w:val="22"/>
        </w:rPr>
        <w:t xml:space="preserve">The Harrell C-statistic for </w:t>
      </w:r>
      <w:r>
        <w:rPr>
          <w:rFonts w:ascii="Arial" w:hAnsi="Arial" w:cs="Arial"/>
          <w:sz w:val="22"/>
          <w:szCs w:val="22"/>
        </w:rPr>
        <w:t>the</w:t>
      </w:r>
      <w:r w:rsidR="006A4D0A">
        <w:rPr>
          <w:rFonts w:ascii="Arial" w:hAnsi="Arial" w:cs="Arial"/>
          <w:sz w:val="22"/>
          <w:szCs w:val="22"/>
        </w:rPr>
        <w:t xml:space="preserve"> model was 0.645</w:t>
      </w:r>
      <w:r w:rsidRPr="006D3CDC">
        <w:rPr>
          <w:rFonts w:ascii="Arial" w:hAnsi="Arial" w:cs="Arial"/>
          <w:sz w:val="22"/>
          <w:szCs w:val="22"/>
        </w:rPr>
        <w:t>.</w:t>
      </w:r>
    </w:p>
    <w:p w14:paraId="170CF760" w14:textId="77777777" w:rsidR="00E04ABD" w:rsidRDefault="00E04ABD" w:rsidP="00E04ABD">
      <w:pPr>
        <w:spacing w:line="480" w:lineRule="auto"/>
        <w:rPr>
          <w:rFonts w:ascii="Arial" w:hAnsi="Arial" w:cs="Arial"/>
          <w:sz w:val="22"/>
          <w:szCs w:val="22"/>
        </w:rPr>
      </w:pPr>
    </w:p>
    <w:p w14:paraId="677AE953" w14:textId="77777777" w:rsidR="00E04ABD" w:rsidRPr="006D3CDC" w:rsidRDefault="00E04ABD" w:rsidP="00E04ABD">
      <w:pPr>
        <w:spacing w:line="480" w:lineRule="auto"/>
        <w:rPr>
          <w:rFonts w:ascii="Arial" w:hAnsi="Arial" w:cs="Arial"/>
          <w:sz w:val="22"/>
          <w:szCs w:val="22"/>
        </w:rPr>
      </w:pPr>
      <w:r w:rsidRPr="006D3CDC">
        <w:rPr>
          <w:rFonts w:ascii="Arial" w:hAnsi="Arial" w:cs="Arial"/>
          <w:sz w:val="22"/>
          <w:szCs w:val="22"/>
        </w:rPr>
        <w:t xml:space="preserve">The facility-level and 14-state sample observed readmission rate </w:t>
      </w:r>
      <w:r>
        <w:rPr>
          <w:rFonts w:ascii="Arial" w:hAnsi="Arial" w:cs="Arial"/>
          <w:sz w:val="22"/>
          <w:szCs w:val="22"/>
        </w:rPr>
        <w:t>represented</w:t>
      </w:r>
      <w:r w:rsidRPr="006D3CDC">
        <w:rPr>
          <w:rFonts w:ascii="Arial" w:hAnsi="Arial" w:cs="Arial"/>
          <w:sz w:val="22"/>
          <w:szCs w:val="22"/>
        </w:rPr>
        <w:t xml:space="preserve"> the proportion of patients readmitted </w:t>
      </w:r>
      <w:r>
        <w:rPr>
          <w:rFonts w:ascii="Arial" w:hAnsi="Arial" w:cs="Arial"/>
          <w:sz w:val="22"/>
          <w:szCs w:val="22"/>
        </w:rPr>
        <w:t>among</w:t>
      </w:r>
      <w:r w:rsidRPr="006D3CDC">
        <w:rPr>
          <w:rFonts w:ascii="Arial" w:hAnsi="Arial" w:cs="Arial"/>
          <w:sz w:val="22"/>
          <w:szCs w:val="22"/>
        </w:rPr>
        <w:t xml:space="preserve"> </w:t>
      </w:r>
      <w:r>
        <w:rPr>
          <w:rFonts w:ascii="Arial" w:hAnsi="Arial" w:cs="Arial"/>
          <w:sz w:val="22"/>
          <w:szCs w:val="22"/>
        </w:rPr>
        <w:t xml:space="preserve">the </w:t>
      </w:r>
      <w:r w:rsidRPr="006D3CDC">
        <w:rPr>
          <w:rFonts w:ascii="Arial" w:hAnsi="Arial" w:cs="Arial"/>
          <w:sz w:val="22"/>
          <w:szCs w:val="22"/>
        </w:rPr>
        <w:t>patients receiving care at each CAH and the whole analytical sample, respectively. Using th</w:t>
      </w:r>
      <w:r>
        <w:rPr>
          <w:rFonts w:ascii="Arial" w:hAnsi="Arial" w:cs="Arial"/>
          <w:sz w:val="22"/>
          <w:szCs w:val="22"/>
        </w:rPr>
        <w:t xml:space="preserve">e readmission </w:t>
      </w:r>
      <w:r w:rsidRPr="006D3CDC">
        <w:rPr>
          <w:rFonts w:ascii="Arial" w:hAnsi="Arial" w:cs="Arial"/>
          <w:sz w:val="22"/>
          <w:szCs w:val="22"/>
        </w:rPr>
        <w:t xml:space="preserve">model described </w:t>
      </w:r>
      <w:r>
        <w:rPr>
          <w:rFonts w:ascii="Arial" w:hAnsi="Arial" w:cs="Arial"/>
          <w:sz w:val="22"/>
          <w:szCs w:val="22"/>
        </w:rPr>
        <w:t>above</w:t>
      </w:r>
      <w:r w:rsidRPr="006D3CDC">
        <w:rPr>
          <w:rFonts w:ascii="Arial" w:hAnsi="Arial" w:cs="Arial"/>
          <w:sz w:val="22"/>
          <w:szCs w:val="22"/>
        </w:rPr>
        <w:t xml:space="preserve">, each patient’s probability of readmission </w:t>
      </w:r>
      <w:r>
        <w:rPr>
          <w:rFonts w:ascii="Arial" w:hAnsi="Arial" w:cs="Arial"/>
          <w:sz w:val="22"/>
          <w:szCs w:val="22"/>
        </w:rPr>
        <w:t xml:space="preserve">was calculated </w:t>
      </w:r>
      <w:r w:rsidRPr="006D3CDC">
        <w:rPr>
          <w:rFonts w:ascii="Arial" w:hAnsi="Arial" w:cs="Arial"/>
          <w:sz w:val="22"/>
          <w:szCs w:val="22"/>
        </w:rPr>
        <w:t xml:space="preserve">and the facility-level expected readmission rate </w:t>
      </w:r>
      <w:r>
        <w:rPr>
          <w:rFonts w:ascii="Arial" w:hAnsi="Arial" w:cs="Arial"/>
          <w:sz w:val="22"/>
          <w:szCs w:val="22"/>
        </w:rPr>
        <w:t xml:space="preserve">was derived </w:t>
      </w:r>
      <w:r w:rsidRPr="006D3CDC">
        <w:rPr>
          <w:rFonts w:ascii="Arial" w:hAnsi="Arial" w:cs="Arial"/>
          <w:sz w:val="22"/>
          <w:szCs w:val="22"/>
        </w:rPr>
        <w:t xml:space="preserve">by calculating the mean </w:t>
      </w:r>
      <w:r>
        <w:rPr>
          <w:rFonts w:ascii="Arial" w:hAnsi="Arial" w:cs="Arial"/>
          <w:sz w:val="22"/>
          <w:szCs w:val="22"/>
        </w:rPr>
        <w:t>for each CAH</w:t>
      </w:r>
      <w:r w:rsidRPr="006D3CDC">
        <w:rPr>
          <w:rFonts w:ascii="Arial" w:hAnsi="Arial" w:cs="Arial"/>
          <w:sz w:val="22"/>
          <w:szCs w:val="22"/>
        </w:rPr>
        <w:t xml:space="preserve">. Finally, the facility-level, risk adjusted readmission rate was calculated </w:t>
      </w:r>
      <w:r>
        <w:rPr>
          <w:rFonts w:ascii="Arial" w:hAnsi="Arial" w:cs="Arial"/>
          <w:sz w:val="22"/>
          <w:szCs w:val="22"/>
        </w:rPr>
        <w:t>with</w:t>
      </w:r>
      <w:r w:rsidRPr="006D3CDC">
        <w:rPr>
          <w:rFonts w:ascii="Arial" w:hAnsi="Arial" w:cs="Arial"/>
          <w:sz w:val="22"/>
          <w:szCs w:val="22"/>
        </w:rPr>
        <w:t xml:space="preserve"> the equation used by CMS for SNFs shown below</w:t>
      </w:r>
      <w:r>
        <w:rPr>
          <w:rFonts w:ascii="Arial" w:hAnsi="Arial" w:cs="Arial"/>
          <w:sz w:val="22"/>
          <w:szCs w:val="22"/>
        </w:rPr>
        <w:t>:</w:t>
      </w:r>
    </w:p>
    <w:p w14:paraId="715611FB" w14:textId="77777777" w:rsidR="00E04ABD" w:rsidRPr="006D3CDC" w:rsidRDefault="007271D3" w:rsidP="00E04ABD">
      <w:pPr>
        <w:spacing w:line="480" w:lineRule="auto"/>
        <w:jc w:val="center"/>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observed rate</m:t>
              </m:r>
            </m:num>
            <m:den>
              <m:r>
                <w:rPr>
                  <w:rFonts w:ascii="Cambria Math" w:hAnsi="Cambria Math" w:cs="Arial"/>
                  <w:sz w:val="22"/>
                  <w:szCs w:val="22"/>
                </w:rPr>
                <m:t>expected rate</m:t>
              </m:r>
            </m:den>
          </m:f>
          <m:r>
            <w:rPr>
              <w:rFonts w:ascii="Cambria Math" w:hAnsi="Cambria Math" w:cs="Arial"/>
              <w:sz w:val="22"/>
              <w:szCs w:val="22"/>
            </w:rPr>
            <m:t>* sample rate=risk adjusted rate</m:t>
          </m:r>
        </m:oMath>
      </m:oMathPara>
    </w:p>
    <w:p w14:paraId="0DFCBB8E" w14:textId="77777777" w:rsidR="00E04ABD" w:rsidRDefault="00E04ABD" w:rsidP="00E04ABD">
      <w:pPr>
        <w:spacing w:line="480" w:lineRule="auto"/>
        <w:rPr>
          <w:rFonts w:ascii="Arial" w:hAnsi="Arial" w:cs="Arial"/>
          <w:sz w:val="22"/>
          <w:szCs w:val="22"/>
        </w:rPr>
      </w:pPr>
    </w:p>
    <w:p w14:paraId="33B3E352" w14:textId="2C9D1626" w:rsidR="00E04ABD" w:rsidRPr="006D3CDC" w:rsidRDefault="00E04ABD" w:rsidP="00E04ABD">
      <w:pPr>
        <w:spacing w:line="480" w:lineRule="auto"/>
        <w:rPr>
          <w:rFonts w:ascii="Arial" w:hAnsi="Arial" w:cs="Arial"/>
          <w:sz w:val="22"/>
          <w:szCs w:val="22"/>
        </w:rPr>
      </w:pPr>
      <w:r>
        <w:rPr>
          <w:rFonts w:ascii="Arial" w:hAnsi="Arial" w:cs="Arial"/>
          <w:sz w:val="22"/>
          <w:szCs w:val="22"/>
        </w:rPr>
        <w:t xml:space="preserve">As described in the report, the overall risk-adjusted hospital readmission rate (during swing bed stay + 30 days after swing bed stay discharge) for patients in CAHs with swing beds was calculated and compared with the overall risk-adjusted hospital readmission rate for patients in rural SNFs using data from Nursing Home Compare and Medicare claims data from </w:t>
      </w:r>
      <w:r w:rsidR="006A4D0A">
        <w:rPr>
          <w:rFonts w:ascii="Arial" w:hAnsi="Arial" w:cs="Arial"/>
          <w:sz w:val="22"/>
          <w:szCs w:val="22"/>
        </w:rPr>
        <w:t>a large ACO management firm</w:t>
      </w:r>
      <w:r>
        <w:rPr>
          <w:rFonts w:ascii="Arial" w:hAnsi="Arial" w:cs="Arial"/>
          <w:sz w:val="22"/>
          <w:szCs w:val="22"/>
        </w:rPr>
        <w:t>.</w:t>
      </w:r>
    </w:p>
    <w:p w14:paraId="17248520" w14:textId="77777777" w:rsidR="00E04ABD" w:rsidRDefault="00E04ABD" w:rsidP="00E04ABD">
      <w:pPr>
        <w:spacing w:line="480" w:lineRule="auto"/>
        <w:rPr>
          <w:rFonts w:ascii="Arial" w:hAnsi="Arial" w:cs="Arial"/>
          <w:sz w:val="22"/>
          <w:szCs w:val="22"/>
        </w:rPr>
      </w:pPr>
    </w:p>
    <w:p w14:paraId="6F13E946" w14:textId="77777777" w:rsidR="00E04ABD" w:rsidRPr="006D3CDC" w:rsidRDefault="00E04ABD" w:rsidP="00E04ABD">
      <w:pPr>
        <w:spacing w:line="480" w:lineRule="auto"/>
        <w:rPr>
          <w:rFonts w:ascii="Arial" w:hAnsi="Arial" w:cs="Arial"/>
          <w:sz w:val="22"/>
          <w:szCs w:val="22"/>
        </w:rPr>
      </w:pPr>
      <w:r w:rsidRPr="006D3CDC">
        <w:rPr>
          <w:rFonts w:ascii="Arial" w:hAnsi="Arial" w:cs="Arial"/>
          <w:sz w:val="22"/>
          <w:szCs w:val="22"/>
        </w:rPr>
        <w:t>Data management and descriptive analys</w:t>
      </w:r>
      <w:r>
        <w:rPr>
          <w:rFonts w:ascii="Arial" w:hAnsi="Arial" w:cs="Arial"/>
          <w:sz w:val="22"/>
          <w:szCs w:val="22"/>
        </w:rPr>
        <w:t>e</w:t>
      </w:r>
      <w:r w:rsidRPr="006D3CDC">
        <w:rPr>
          <w:rFonts w:ascii="Arial" w:hAnsi="Arial" w:cs="Arial"/>
          <w:sz w:val="22"/>
          <w:szCs w:val="22"/>
        </w:rPr>
        <w:t>s were conducted in SAS version 9.4 (Cary, NC). Estimation of risk-adjusted</w:t>
      </w:r>
      <w:r>
        <w:rPr>
          <w:rFonts w:ascii="Arial" w:hAnsi="Arial" w:cs="Arial"/>
          <w:sz w:val="22"/>
          <w:szCs w:val="22"/>
        </w:rPr>
        <w:t xml:space="preserve"> models</w:t>
      </w:r>
      <w:r w:rsidRPr="006D3CDC">
        <w:rPr>
          <w:rFonts w:ascii="Arial" w:hAnsi="Arial" w:cs="Arial"/>
          <w:sz w:val="22"/>
          <w:szCs w:val="22"/>
        </w:rPr>
        <w:t xml:space="preserve"> w</w:t>
      </w:r>
      <w:r>
        <w:rPr>
          <w:rFonts w:ascii="Arial" w:hAnsi="Arial" w:cs="Arial"/>
          <w:sz w:val="22"/>
          <w:szCs w:val="22"/>
        </w:rPr>
        <w:t xml:space="preserve">as </w:t>
      </w:r>
      <w:r w:rsidRPr="006D3CDC">
        <w:rPr>
          <w:rFonts w:ascii="Arial" w:hAnsi="Arial" w:cs="Arial"/>
          <w:sz w:val="22"/>
          <w:szCs w:val="22"/>
        </w:rPr>
        <w:t>conducted in R (Vienna, Austria). I</w:t>
      </w:r>
      <w:r>
        <w:rPr>
          <w:rFonts w:ascii="Arial" w:hAnsi="Arial" w:cs="Arial"/>
          <w:sz w:val="22"/>
          <w:szCs w:val="22"/>
        </w:rPr>
        <w:t>nformation related to CMS model</w:t>
      </w:r>
      <w:r w:rsidRPr="006D3CDC">
        <w:rPr>
          <w:rFonts w:ascii="Arial" w:hAnsi="Arial" w:cs="Arial"/>
          <w:sz w:val="22"/>
          <w:szCs w:val="22"/>
        </w:rPr>
        <w:t xml:space="preserve"> </w:t>
      </w:r>
      <w:r>
        <w:rPr>
          <w:rFonts w:ascii="Arial" w:hAnsi="Arial" w:cs="Arial"/>
          <w:sz w:val="22"/>
          <w:szCs w:val="22"/>
        </w:rPr>
        <w:t xml:space="preserve">development </w:t>
      </w:r>
      <w:r w:rsidRPr="006D3CDC">
        <w:rPr>
          <w:rFonts w:ascii="Arial" w:hAnsi="Arial" w:cs="Arial"/>
          <w:sz w:val="22"/>
          <w:szCs w:val="22"/>
        </w:rPr>
        <w:t>w</w:t>
      </w:r>
      <w:r>
        <w:rPr>
          <w:rFonts w:ascii="Arial" w:hAnsi="Arial" w:cs="Arial"/>
          <w:sz w:val="22"/>
          <w:szCs w:val="22"/>
        </w:rPr>
        <w:t xml:space="preserve">as </w:t>
      </w:r>
      <w:r w:rsidRPr="006D3CDC">
        <w:rPr>
          <w:rFonts w:ascii="Arial" w:hAnsi="Arial" w:cs="Arial"/>
          <w:sz w:val="22"/>
          <w:szCs w:val="22"/>
        </w:rPr>
        <w:t>publicly available on the CMS website.</w:t>
      </w:r>
    </w:p>
    <w:p w14:paraId="69E91BA9" w14:textId="77777777" w:rsidR="00E04ABD" w:rsidRDefault="00E04ABD" w:rsidP="00E04ABD">
      <w:pPr>
        <w:rPr>
          <w:rFonts w:ascii="Arial" w:hAnsi="Arial" w:cs="Arial"/>
          <w:sz w:val="22"/>
          <w:szCs w:val="22"/>
        </w:rPr>
      </w:pPr>
      <w:r>
        <w:rPr>
          <w:rFonts w:ascii="Arial" w:hAnsi="Arial" w:cs="Arial"/>
          <w:sz w:val="22"/>
          <w:szCs w:val="22"/>
        </w:rPr>
        <w:br w:type="page"/>
      </w:r>
    </w:p>
    <w:p w14:paraId="2ED71EB4" w14:textId="77777777" w:rsidR="00E04ABD" w:rsidRDefault="00E04ABD" w:rsidP="00E04ABD">
      <w:pPr>
        <w:spacing w:line="480" w:lineRule="auto"/>
        <w:rPr>
          <w:rFonts w:ascii="Arial" w:hAnsi="Arial" w:cs="Arial"/>
          <w:b/>
          <w:sz w:val="22"/>
          <w:szCs w:val="22"/>
        </w:rPr>
      </w:pPr>
      <w:r>
        <w:rPr>
          <w:rFonts w:ascii="Arial" w:hAnsi="Arial" w:cs="Arial"/>
          <w:b/>
          <w:sz w:val="22"/>
          <w:szCs w:val="22"/>
        </w:rPr>
        <w:t>References</w:t>
      </w:r>
    </w:p>
    <w:p w14:paraId="0DC19FFB" w14:textId="77777777" w:rsidR="00E04ABD" w:rsidRDefault="00E04ABD" w:rsidP="00E04ABD">
      <w:pPr>
        <w:spacing w:line="480" w:lineRule="auto"/>
        <w:rPr>
          <w:rFonts w:ascii="Arial" w:hAnsi="Arial" w:cs="Arial"/>
          <w:b/>
          <w:sz w:val="22"/>
          <w:szCs w:val="22"/>
        </w:rPr>
      </w:pPr>
    </w:p>
    <w:p w14:paraId="582329B0"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Pr="00780E24">
        <w:rPr>
          <w:rFonts w:ascii="Arial" w:hAnsi="Arial" w:cs="Arial"/>
          <w:noProof/>
          <w:sz w:val="22"/>
        </w:rPr>
        <w:t xml:space="preserve">1. </w:t>
      </w:r>
      <w:r w:rsidRPr="00780E24">
        <w:rPr>
          <w:rFonts w:ascii="Arial" w:hAnsi="Arial" w:cs="Arial"/>
          <w:noProof/>
          <w:sz w:val="22"/>
        </w:rPr>
        <w:tab/>
        <w:t xml:space="preserve">Pardasaney PK, Deutsch A, Iriondo-Perez J, Ingber MJ, McMullen T. Measuring Inpatient Rehabilitation Facility Quality of Care: Discharge Self-Care Functional Status Quality Measure. </w:t>
      </w:r>
      <w:r w:rsidRPr="00780E24">
        <w:rPr>
          <w:rFonts w:ascii="Arial" w:hAnsi="Arial" w:cs="Arial"/>
          <w:i/>
          <w:iCs/>
          <w:noProof/>
          <w:sz w:val="22"/>
        </w:rPr>
        <w:t>Arch Phys Med Rehabil</w:t>
      </w:r>
      <w:r w:rsidRPr="00780E24">
        <w:rPr>
          <w:rFonts w:ascii="Arial" w:hAnsi="Arial" w:cs="Arial"/>
          <w:noProof/>
          <w:sz w:val="22"/>
        </w:rPr>
        <w:t>. 2018;99(6):1035-1041. doi:10.1016/j.apmr.2017.02.023</w:t>
      </w:r>
    </w:p>
    <w:p w14:paraId="5803260B"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2. </w:t>
      </w:r>
      <w:r w:rsidRPr="00780E24">
        <w:rPr>
          <w:rFonts w:ascii="Arial" w:hAnsi="Arial" w:cs="Arial"/>
          <w:noProof/>
          <w:sz w:val="22"/>
        </w:rPr>
        <w:tab/>
        <w:t xml:space="preserve">Daras LC, Ingber MJ, Carichner J, et al. Evaluating Hospital Readmission Rates After Discharge From Inpatient Rehabilitation. </w:t>
      </w:r>
      <w:r w:rsidRPr="00780E24">
        <w:rPr>
          <w:rFonts w:ascii="Arial" w:hAnsi="Arial" w:cs="Arial"/>
          <w:i/>
          <w:iCs/>
          <w:noProof/>
          <w:sz w:val="22"/>
        </w:rPr>
        <w:t>Arch Phys Med Rehabil</w:t>
      </w:r>
      <w:r w:rsidRPr="00780E24">
        <w:rPr>
          <w:rFonts w:ascii="Arial" w:hAnsi="Arial" w:cs="Arial"/>
          <w:noProof/>
          <w:sz w:val="22"/>
        </w:rPr>
        <w:t>. 2018;99(6):1049-1059. doi:10.1016/j.apmr.2017.07.008</w:t>
      </w:r>
    </w:p>
    <w:p w14:paraId="0BD75D6C" w14:textId="77777777" w:rsidR="00E04ABD" w:rsidRPr="006E370D"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3. </w:t>
      </w:r>
      <w:r w:rsidRPr="00780E24">
        <w:rPr>
          <w:rFonts w:ascii="Arial" w:hAnsi="Arial" w:cs="Arial"/>
          <w:noProof/>
          <w:sz w:val="22"/>
        </w:rPr>
        <w:tab/>
      </w:r>
      <w:r>
        <w:rPr>
          <w:rFonts w:ascii="Arial" w:hAnsi="Arial" w:cs="Arial"/>
          <w:noProof/>
          <w:sz w:val="22"/>
        </w:rPr>
        <w:t xml:space="preserve">Deutsch A, Pardasaney PK, Iriondo-Perez J, Ingber MJ, Porter KA, McMullen T. Development of a Risk-adjustment Model for the Inpatient Rehabilitation Facility Discharge Self-care Functional Status Quality Measure. </w:t>
      </w:r>
      <w:r>
        <w:rPr>
          <w:rFonts w:ascii="Arial" w:hAnsi="Arial" w:cs="Arial"/>
          <w:i/>
          <w:noProof/>
          <w:sz w:val="22"/>
        </w:rPr>
        <w:t>Med Care.</w:t>
      </w:r>
      <w:r>
        <w:rPr>
          <w:rFonts w:ascii="Arial" w:hAnsi="Arial" w:cs="Arial"/>
          <w:noProof/>
          <w:sz w:val="22"/>
        </w:rPr>
        <w:t>2017;55(7):706-715.doi:10.1097/MLR.0000000000000736</w:t>
      </w:r>
    </w:p>
    <w:p w14:paraId="6027C183"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Pr>
          <w:rFonts w:ascii="Arial" w:hAnsi="Arial" w:cs="Arial"/>
          <w:noProof/>
          <w:sz w:val="22"/>
        </w:rPr>
        <w:t xml:space="preserve">4. </w:t>
      </w:r>
      <w:r>
        <w:rPr>
          <w:rFonts w:ascii="Arial" w:hAnsi="Arial" w:cs="Arial"/>
          <w:noProof/>
          <w:sz w:val="22"/>
        </w:rPr>
        <w:tab/>
        <w:t>RTI International</w:t>
      </w:r>
      <w:r w:rsidRPr="00780E24">
        <w:rPr>
          <w:rFonts w:ascii="Arial" w:hAnsi="Arial" w:cs="Arial"/>
          <w:noProof/>
          <w:sz w:val="22"/>
        </w:rPr>
        <w:t xml:space="preserve">. Specifications for the Function Quality Measures Adopted in the Skilled Nursing Facility Quality Reporting Program. </w:t>
      </w:r>
      <w:r>
        <w:rPr>
          <w:rFonts w:ascii="Arial" w:hAnsi="Arial" w:cs="Arial"/>
          <w:noProof/>
          <w:sz w:val="22"/>
        </w:rPr>
        <w:t xml:space="preserve">August </w:t>
      </w:r>
      <w:r w:rsidRPr="00780E24">
        <w:rPr>
          <w:rFonts w:ascii="Arial" w:hAnsi="Arial" w:cs="Arial"/>
          <w:noProof/>
          <w:sz w:val="22"/>
        </w:rPr>
        <w:t>2018;</w:t>
      </w:r>
      <w:r>
        <w:rPr>
          <w:rFonts w:ascii="Arial" w:hAnsi="Arial" w:cs="Arial"/>
          <w:noProof/>
          <w:sz w:val="22"/>
        </w:rPr>
        <w:t>. Funded by CMC Contract No. HHSM-500-2013-130151 (HHSM-500-T0001)</w:t>
      </w:r>
    </w:p>
    <w:p w14:paraId="7037B127"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5. </w:t>
      </w:r>
      <w:r w:rsidRPr="00780E24">
        <w:rPr>
          <w:rFonts w:ascii="Arial" w:hAnsi="Arial" w:cs="Arial"/>
          <w:noProof/>
          <w:sz w:val="22"/>
        </w:rPr>
        <w:tab/>
        <w:t>Abt Associates. Nursing Home Compare Claims-Based Quality Measure Technical Specifications Final. 2018. https://www.cms.gov/Medicare/Provider-Enrollment-and-Certification/CertificationandComplianc/Downloads/New-Measures-Technical-Specifications-DRAFT-04-05-16-.pdf.</w:t>
      </w:r>
    </w:p>
    <w:p w14:paraId="23941AF5" w14:textId="77777777" w:rsidR="00E04ABD" w:rsidRPr="00780E24" w:rsidRDefault="00E04ABD" w:rsidP="00E04ABD">
      <w:pPr>
        <w:widowControl w:val="0"/>
        <w:autoSpaceDE w:val="0"/>
        <w:autoSpaceDN w:val="0"/>
        <w:adjustRightInd w:val="0"/>
        <w:spacing w:line="480" w:lineRule="auto"/>
        <w:ind w:left="640" w:hanging="640"/>
        <w:rPr>
          <w:rFonts w:ascii="Arial" w:hAnsi="Arial" w:cs="Arial"/>
          <w:noProof/>
          <w:sz w:val="22"/>
        </w:rPr>
      </w:pPr>
      <w:r w:rsidRPr="00780E24">
        <w:rPr>
          <w:rFonts w:ascii="Arial" w:hAnsi="Arial" w:cs="Arial"/>
          <w:noProof/>
          <w:sz w:val="22"/>
        </w:rPr>
        <w:t xml:space="preserve">6. </w:t>
      </w:r>
      <w:r w:rsidRPr="00780E24">
        <w:rPr>
          <w:rFonts w:ascii="Arial" w:hAnsi="Arial" w:cs="Arial"/>
          <w:noProof/>
          <w:sz w:val="22"/>
        </w:rPr>
        <w:tab/>
        <w:t>Abt Associates. Nursing Home Compare Quality Measure Technical Specifications Final - Appendices. 2018. https://www.cms.gov/Medicare/Provider-Enrollment-and-Certification/CertificationandComplianc/Downloads/New-Measures-Technical-Specifications-DRAFT-04-05-16-.pdf.</w:t>
      </w:r>
    </w:p>
    <w:p w14:paraId="3C21A246" w14:textId="72D3B465" w:rsidR="00E04ABD" w:rsidRPr="00D221E3" w:rsidRDefault="00E04ABD" w:rsidP="00D221E3">
      <w:pPr>
        <w:spacing w:line="480" w:lineRule="auto"/>
        <w:rPr>
          <w:rFonts w:ascii="Arial" w:hAnsi="Arial" w:cs="Arial"/>
          <w:sz w:val="22"/>
          <w:szCs w:val="22"/>
        </w:rPr>
      </w:pPr>
      <w:r>
        <w:rPr>
          <w:rFonts w:ascii="Arial" w:hAnsi="Arial" w:cs="Arial"/>
          <w:sz w:val="22"/>
          <w:szCs w:val="22"/>
        </w:rPr>
        <w:fldChar w:fldCharType="end"/>
      </w:r>
    </w:p>
    <w:p w14:paraId="715B19F7" w14:textId="77777777" w:rsidR="00E04ABD" w:rsidRDefault="00E04ABD" w:rsidP="00E04ABD">
      <w:pPr>
        <w:rPr>
          <w:rFonts w:ascii="Arial" w:hAnsi="Arial" w:cs="Arial"/>
          <w:b/>
          <w:bCs/>
          <w:sz w:val="22"/>
          <w:szCs w:val="22"/>
        </w:rPr>
      </w:pPr>
    </w:p>
    <w:p w14:paraId="4F00096C" w14:textId="55E2479F" w:rsidR="00E04ABD" w:rsidRDefault="00E04ABD" w:rsidP="00E04ABD">
      <w:pPr>
        <w:rPr>
          <w:rFonts w:ascii="Arial" w:hAnsi="Arial" w:cs="Arial"/>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1</w:t>
      </w:r>
      <w:r w:rsidRPr="002D6F1B">
        <w:rPr>
          <w:rFonts w:ascii="Arial" w:hAnsi="Arial" w:cs="Arial"/>
          <w:bCs/>
          <w:sz w:val="22"/>
          <w:szCs w:val="22"/>
        </w:rPr>
        <w:t>:</w:t>
      </w:r>
      <w:r w:rsidRPr="002D6F1B">
        <w:rPr>
          <w:rFonts w:ascii="Arial" w:hAnsi="Arial" w:cs="Arial"/>
          <w:sz w:val="22"/>
          <w:szCs w:val="22"/>
        </w:rPr>
        <w:t xml:space="preserve"> </w:t>
      </w:r>
      <w:r w:rsidRPr="00100E9A">
        <w:rPr>
          <w:rFonts w:ascii="Arial" w:hAnsi="Arial" w:cs="Arial"/>
          <w:b/>
          <w:sz w:val="22"/>
          <w:szCs w:val="22"/>
        </w:rPr>
        <w:t xml:space="preserve">Exclusion criteria for CAH </w:t>
      </w:r>
      <w:r w:rsidR="00436120">
        <w:rPr>
          <w:rFonts w:ascii="Arial" w:hAnsi="Arial" w:cs="Arial"/>
          <w:b/>
          <w:sz w:val="22"/>
          <w:szCs w:val="22"/>
        </w:rPr>
        <w:t>swing bed</w:t>
      </w:r>
      <w:r w:rsidRPr="00100E9A">
        <w:rPr>
          <w:rFonts w:ascii="Arial" w:hAnsi="Arial" w:cs="Arial"/>
          <w:b/>
          <w:sz w:val="22"/>
          <w:szCs w:val="22"/>
        </w:rPr>
        <w:t xml:space="preserve"> patient functional status assessment</w:t>
      </w:r>
    </w:p>
    <w:p w14:paraId="4F765544" w14:textId="77777777" w:rsidR="00E04ABD" w:rsidRPr="002D6F1B" w:rsidRDefault="00E04ABD" w:rsidP="00E04ABD">
      <w:pPr>
        <w:rPr>
          <w:rFonts w:ascii="Arial" w:hAnsi="Arial" w:cs="Arial"/>
          <w:sz w:val="22"/>
          <w:szCs w:val="22"/>
        </w:rPr>
      </w:pPr>
    </w:p>
    <w:tbl>
      <w:tblPr>
        <w:tblW w:w="8353" w:type="dxa"/>
        <w:tblLook w:val="04A0" w:firstRow="1" w:lastRow="0" w:firstColumn="1" w:lastColumn="0" w:noHBand="0" w:noVBand="1"/>
      </w:tblPr>
      <w:tblGrid>
        <w:gridCol w:w="6660"/>
        <w:gridCol w:w="706"/>
        <w:gridCol w:w="987"/>
      </w:tblGrid>
      <w:tr w:rsidR="00E04ABD" w:rsidRPr="003F0046" w14:paraId="4AC2AD70" w14:textId="77777777" w:rsidTr="00B0051B">
        <w:trPr>
          <w:trHeight w:val="320"/>
        </w:trPr>
        <w:tc>
          <w:tcPr>
            <w:tcW w:w="6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B1F42A" w14:textId="77777777" w:rsidR="00E04ABD" w:rsidRPr="003F0046" w:rsidRDefault="00E04ABD" w:rsidP="00B0051B">
            <w:pPr>
              <w:jc w:val="center"/>
              <w:rPr>
                <w:rFonts w:ascii="Arial" w:hAnsi="Arial" w:cs="Arial"/>
                <w:b/>
                <w:bCs/>
                <w:color w:val="000000"/>
                <w:sz w:val="22"/>
                <w:szCs w:val="22"/>
              </w:rPr>
            </w:pPr>
            <w:r w:rsidRPr="003F0046">
              <w:rPr>
                <w:rFonts w:ascii="Arial" w:hAnsi="Arial" w:cs="Arial"/>
                <w:b/>
                <w:bCs/>
                <w:color w:val="000000"/>
                <w:sz w:val="22"/>
                <w:szCs w:val="22"/>
              </w:rPr>
              <w:t>Criteria</w:t>
            </w:r>
          </w:p>
        </w:tc>
        <w:tc>
          <w:tcPr>
            <w:tcW w:w="169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AF0964D" w14:textId="77777777" w:rsidR="00E04ABD" w:rsidRPr="003F0046" w:rsidRDefault="00E04ABD" w:rsidP="00B0051B">
            <w:pPr>
              <w:jc w:val="center"/>
              <w:rPr>
                <w:rFonts w:ascii="Arial" w:hAnsi="Arial" w:cs="Arial"/>
                <w:b/>
                <w:bCs/>
                <w:color w:val="000000"/>
                <w:sz w:val="22"/>
                <w:szCs w:val="22"/>
              </w:rPr>
            </w:pPr>
            <w:r w:rsidRPr="003F0046">
              <w:rPr>
                <w:rFonts w:ascii="Arial" w:hAnsi="Arial" w:cs="Arial"/>
                <w:b/>
                <w:bCs/>
                <w:color w:val="000000"/>
                <w:sz w:val="22"/>
                <w:szCs w:val="22"/>
              </w:rPr>
              <w:t>N (%)</w:t>
            </w:r>
          </w:p>
        </w:tc>
      </w:tr>
      <w:tr w:rsidR="00E04ABD" w:rsidRPr="003F0046" w14:paraId="1B1D4A96"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298474A3"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Died while in swing bed</w:t>
            </w:r>
          </w:p>
        </w:tc>
        <w:tc>
          <w:tcPr>
            <w:tcW w:w="706" w:type="dxa"/>
            <w:tcBorders>
              <w:top w:val="nil"/>
              <w:left w:val="nil"/>
              <w:bottom w:val="single" w:sz="4" w:space="0" w:color="auto"/>
              <w:right w:val="nil"/>
            </w:tcBorders>
            <w:shd w:val="clear" w:color="000000" w:fill="FFFFFF"/>
            <w:noWrap/>
            <w:vAlign w:val="bottom"/>
            <w:hideMark/>
          </w:tcPr>
          <w:p w14:paraId="597B479D"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193</w:t>
            </w:r>
          </w:p>
        </w:tc>
        <w:tc>
          <w:tcPr>
            <w:tcW w:w="987" w:type="dxa"/>
            <w:tcBorders>
              <w:top w:val="nil"/>
              <w:left w:val="nil"/>
              <w:bottom w:val="single" w:sz="4" w:space="0" w:color="auto"/>
              <w:right w:val="single" w:sz="4" w:space="0" w:color="auto"/>
            </w:tcBorders>
            <w:shd w:val="clear" w:color="000000" w:fill="FFFFFF"/>
            <w:noWrap/>
            <w:vAlign w:val="bottom"/>
            <w:hideMark/>
          </w:tcPr>
          <w:p w14:paraId="697726ED"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(2.9%)</w:t>
            </w:r>
          </w:p>
        </w:tc>
      </w:tr>
      <w:tr w:rsidR="00E04ABD" w:rsidRPr="003F0046" w14:paraId="0CCAD38F"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DC312F7"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Left the swing bed program against medical advice</w:t>
            </w:r>
          </w:p>
        </w:tc>
        <w:tc>
          <w:tcPr>
            <w:tcW w:w="706" w:type="dxa"/>
            <w:tcBorders>
              <w:top w:val="nil"/>
              <w:left w:val="nil"/>
              <w:bottom w:val="single" w:sz="4" w:space="0" w:color="auto"/>
              <w:right w:val="nil"/>
            </w:tcBorders>
            <w:shd w:val="clear" w:color="000000" w:fill="FFFFFF"/>
            <w:noWrap/>
            <w:vAlign w:val="bottom"/>
            <w:hideMark/>
          </w:tcPr>
          <w:p w14:paraId="4FBB6998"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35</w:t>
            </w:r>
          </w:p>
        </w:tc>
        <w:tc>
          <w:tcPr>
            <w:tcW w:w="987" w:type="dxa"/>
            <w:tcBorders>
              <w:top w:val="nil"/>
              <w:left w:val="nil"/>
              <w:bottom w:val="single" w:sz="4" w:space="0" w:color="auto"/>
              <w:right w:val="single" w:sz="4" w:space="0" w:color="auto"/>
            </w:tcBorders>
            <w:shd w:val="clear" w:color="000000" w:fill="FFFFFF"/>
            <w:noWrap/>
            <w:vAlign w:val="bottom"/>
            <w:hideMark/>
          </w:tcPr>
          <w:p w14:paraId="63CEBA38"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(0.4%)</w:t>
            </w:r>
          </w:p>
        </w:tc>
      </w:tr>
      <w:tr w:rsidR="00E04ABD" w:rsidRPr="003F0046" w14:paraId="5B5109AC"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5C22C6ED"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Discharge</w:t>
            </w:r>
            <w:r>
              <w:rPr>
                <w:rFonts w:ascii="Arial" w:hAnsi="Arial" w:cs="Arial"/>
                <w:color w:val="000000"/>
                <w:sz w:val="22"/>
                <w:szCs w:val="22"/>
              </w:rPr>
              <w:t>d</w:t>
            </w:r>
            <w:r w:rsidRPr="003F0046">
              <w:rPr>
                <w:rFonts w:ascii="Arial" w:hAnsi="Arial" w:cs="Arial"/>
                <w:color w:val="000000"/>
                <w:sz w:val="22"/>
                <w:szCs w:val="22"/>
              </w:rPr>
              <w:t xml:space="preserve"> to hospice care</w:t>
            </w:r>
          </w:p>
        </w:tc>
        <w:tc>
          <w:tcPr>
            <w:tcW w:w="706" w:type="dxa"/>
            <w:tcBorders>
              <w:top w:val="nil"/>
              <w:left w:val="nil"/>
              <w:bottom w:val="single" w:sz="4" w:space="0" w:color="auto"/>
              <w:right w:val="nil"/>
            </w:tcBorders>
            <w:shd w:val="clear" w:color="000000" w:fill="FFFFFF"/>
            <w:noWrap/>
            <w:vAlign w:val="bottom"/>
            <w:hideMark/>
          </w:tcPr>
          <w:p w14:paraId="3D3651DB"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151</w:t>
            </w:r>
          </w:p>
        </w:tc>
        <w:tc>
          <w:tcPr>
            <w:tcW w:w="987" w:type="dxa"/>
            <w:tcBorders>
              <w:top w:val="nil"/>
              <w:left w:val="nil"/>
              <w:bottom w:val="single" w:sz="4" w:space="0" w:color="auto"/>
              <w:right w:val="single" w:sz="4" w:space="0" w:color="auto"/>
            </w:tcBorders>
            <w:shd w:val="clear" w:color="000000" w:fill="FFFFFF"/>
            <w:noWrap/>
            <w:vAlign w:val="bottom"/>
            <w:hideMark/>
          </w:tcPr>
          <w:p w14:paraId="67EF1DA4"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(1.8%)</w:t>
            </w:r>
          </w:p>
        </w:tc>
      </w:tr>
      <w:tr w:rsidR="00E04ABD" w:rsidRPr="003F0046" w14:paraId="72EABEF5"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EECF74E"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Unexpectedly discharged to a short-stay acute hospital/CAH</w:t>
            </w:r>
          </w:p>
        </w:tc>
        <w:tc>
          <w:tcPr>
            <w:tcW w:w="706" w:type="dxa"/>
            <w:tcBorders>
              <w:top w:val="nil"/>
              <w:left w:val="nil"/>
              <w:bottom w:val="single" w:sz="4" w:space="0" w:color="auto"/>
              <w:right w:val="nil"/>
            </w:tcBorders>
            <w:shd w:val="clear" w:color="000000" w:fill="FFFFFF"/>
            <w:noWrap/>
            <w:vAlign w:val="bottom"/>
            <w:hideMark/>
          </w:tcPr>
          <w:p w14:paraId="73D853C8"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429</w:t>
            </w:r>
          </w:p>
        </w:tc>
        <w:tc>
          <w:tcPr>
            <w:tcW w:w="987" w:type="dxa"/>
            <w:tcBorders>
              <w:top w:val="nil"/>
              <w:left w:val="nil"/>
              <w:bottom w:val="single" w:sz="4" w:space="0" w:color="auto"/>
              <w:right w:val="single" w:sz="4" w:space="0" w:color="auto"/>
            </w:tcBorders>
            <w:shd w:val="clear" w:color="000000" w:fill="FFFFFF"/>
            <w:noWrap/>
            <w:vAlign w:val="bottom"/>
            <w:hideMark/>
          </w:tcPr>
          <w:p w14:paraId="4D1327CD"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(5.1%)</w:t>
            </w:r>
          </w:p>
        </w:tc>
      </w:tr>
      <w:tr w:rsidR="00E04ABD" w:rsidRPr="003F0046" w14:paraId="47F68F21"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32ACB4E4" w14:textId="77777777" w:rsidR="00E04ABD" w:rsidRPr="003F0046" w:rsidRDefault="00E04ABD" w:rsidP="00B0051B">
            <w:pPr>
              <w:rPr>
                <w:rFonts w:ascii="Arial" w:hAnsi="Arial" w:cs="Arial"/>
                <w:color w:val="000000"/>
                <w:sz w:val="22"/>
                <w:szCs w:val="22"/>
              </w:rPr>
            </w:pPr>
            <w:r>
              <w:rPr>
                <w:rFonts w:ascii="Arial" w:hAnsi="Arial" w:cs="Arial"/>
                <w:color w:val="000000"/>
                <w:sz w:val="22"/>
                <w:szCs w:val="22"/>
              </w:rPr>
              <w:t>Length of stay</w:t>
            </w:r>
            <w:r w:rsidRPr="003F0046">
              <w:rPr>
                <w:rFonts w:ascii="Arial" w:hAnsi="Arial" w:cs="Arial"/>
                <w:color w:val="000000"/>
                <w:sz w:val="22"/>
                <w:szCs w:val="22"/>
              </w:rPr>
              <w:t xml:space="preserve"> less than 3 days</w:t>
            </w:r>
          </w:p>
        </w:tc>
        <w:tc>
          <w:tcPr>
            <w:tcW w:w="706" w:type="dxa"/>
            <w:tcBorders>
              <w:top w:val="nil"/>
              <w:left w:val="nil"/>
              <w:bottom w:val="single" w:sz="4" w:space="0" w:color="auto"/>
              <w:right w:val="nil"/>
            </w:tcBorders>
            <w:shd w:val="clear" w:color="000000" w:fill="FFFFFF"/>
            <w:noWrap/>
            <w:vAlign w:val="bottom"/>
            <w:hideMark/>
          </w:tcPr>
          <w:p w14:paraId="26A45A48"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412</w:t>
            </w:r>
          </w:p>
        </w:tc>
        <w:tc>
          <w:tcPr>
            <w:tcW w:w="987" w:type="dxa"/>
            <w:tcBorders>
              <w:top w:val="nil"/>
              <w:left w:val="nil"/>
              <w:bottom w:val="single" w:sz="4" w:space="0" w:color="auto"/>
              <w:right w:val="single" w:sz="4" w:space="0" w:color="auto"/>
            </w:tcBorders>
            <w:shd w:val="clear" w:color="000000" w:fill="FFFFFF"/>
            <w:noWrap/>
            <w:vAlign w:val="bottom"/>
            <w:hideMark/>
          </w:tcPr>
          <w:p w14:paraId="0A2852A1"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(4.9%)</w:t>
            </w:r>
          </w:p>
        </w:tc>
      </w:tr>
      <w:tr w:rsidR="00E04ABD" w:rsidRPr="003F0046" w14:paraId="5C33134A"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58DDB802" w14:textId="77777777" w:rsidR="00E04ABD" w:rsidRPr="002E1B56" w:rsidRDefault="00E04ABD" w:rsidP="00B0051B">
            <w:pPr>
              <w:rPr>
                <w:rFonts w:ascii="Arial" w:hAnsi="Arial" w:cs="Arial"/>
                <w:color w:val="000000"/>
                <w:sz w:val="22"/>
                <w:szCs w:val="22"/>
                <w:highlight w:val="yellow"/>
              </w:rPr>
            </w:pPr>
            <w:bookmarkStart w:id="24" w:name="_Hlk25007646"/>
            <w:r w:rsidRPr="00337395">
              <w:rPr>
                <w:rFonts w:ascii="Arial" w:hAnsi="Arial" w:cs="Arial"/>
                <w:color w:val="000000"/>
                <w:sz w:val="22"/>
                <w:szCs w:val="22"/>
              </w:rPr>
              <w:t>Independent with all self-care activities at the time of admission</w:t>
            </w:r>
            <w:bookmarkEnd w:id="24"/>
          </w:p>
        </w:tc>
        <w:tc>
          <w:tcPr>
            <w:tcW w:w="706" w:type="dxa"/>
            <w:tcBorders>
              <w:top w:val="nil"/>
              <w:left w:val="nil"/>
              <w:bottom w:val="single" w:sz="4" w:space="0" w:color="auto"/>
              <w:right w:val="nil"/>
            </w:tcBorders>
            <w:shd w:val="clear" w:color="000000" w:fill="FFFFFF"/>
            <w:noWrap/>
            <w:vAlign w:val="bottom"/>
            <w:hideMark/>
          </w:tcPr>
          <w:p w14:paraId="4CE90875"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105</w:t>
            </w:r>
          </w:p>
        </w:tc>
        <w:tc>
          <w:tcPr>
            <w:tcW w:w="987" w:type="dxa"/>
            <w:tcBorders>
              <w:top w:val="nil"/>
              <w:left w:val="nil"/>
              <w:bottom w:val="single" w:sz="4" w:space="0" w:color="auto"/>
              <w:right w:val="single" w:sz="4" w:space="0" w:color="auto"/>
            </w:tcBorders>
            <w:shd w:val="clear" w:color="000000" w:fill="FFFFFF"/>
            <w:noWrap/>
            <w:vAlign w:val="bottom"/>
            <w:hideMark/>
          </w:tcPr>
          <w:p w14:paraId="22F64147"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(1.3%)</w:t>
            </w:r>
          </w:p>
        </w:tc>
      </w:tr>
      <w:tr w:rsidR="00E04ABD" w:rsidRPr="003F0046" w14:paraId="4530F826" w14:textId="77777777" w:rsidTr="00B0051B">
        <w:trPr>
          <w:trHeight w:val="2040"/>
        </w:trPr>
        <w:tc>
          <w:tcPr>
            <w:tcW w:w="6660" w:type="dxa"/>
            <w:tcBorders>
              <w:top w:val="nil"/>
              <w:left w:val="single" w:sz="4" w:space="0" w:color="auto"/>
              <w:bottom w:val="single" w:sz="4" w:space="0" w:color="auto"/>
              <w:right w:val="single" w:sz="4" w:space="0" w:color="auto"/>
            </w:tcBorders>
            <w:shd w:val="clear" w:color="000000" w:fill="FFFFFF"/>
            <w:vAlign w:val="bottom"/>
            <w:hideMark/>
          </w:tcPr>
          <w:p w14:paraId="2E77D733"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Patients with any of the following medical condition</w:t>
            </w:r>
            <w:r>
              <w:rPr>
                <w:rFonts w:ascii="Arial" w:hAnsi="Arial" w:cs="Arial"/>
                <w:color w:val="000000"/>
                <w:sz w:val="22"/>
                <w:szCs w:val="22"/>
              </w:rPr>
              <w:t>s</w:t>
            </w:r>
            <w:r w:rsidRPr="003F0046">
              <w:rPr>
                <w:rFonts w:ascii="Arial" w:hAnsi="Arial" w:cs="Arial"/>
                <w:color w:val="000000"/>
                <w:sz w:val="22"/>
                <w:szCs w:val="22"/>
              </w:rPr>
              <w:t>:</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coma/persistent vegetative state;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complete tetraplegia;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locked-in syndrome </w:t>
            </w:r>
          </w:p>
          <w:p w14:paraId="468786C9" w14:textId="77777777" w:rsidR="00E04ABD" w:rsidRPr="003F0046" w:rsidRDefault="00E04ABD" w:rsidP="00B0051B">
            <w:pPr>
              <w:rPr>
                <w:rFonts w:ascii="Arial" w:hAnsi="Arial" w:cs="Arial"/>
                <w:color w:val="000000"/>
                <w:sz w:val="22"/>
                <w:szCs w:val="22"/>
              </w:rPr>
            </w:pPr>
            <w:r w:rsidRPr="003F0046">
              <w:rPr>
                <w:rFonts w:ascii="Arial" w:eastAsia="MS Gothic" w:hAnsi="Arial" w:cs="Arial"/>
                <w:color w:val="000000"/>
                <w:sz w:val="22"/>
                <w:szCs w:val="22"/>
              </w:rPr>
              <w:t>・</w:t>
            </w:r>
            <w:r w:rsidRPr="003F0046">
              <w:rPr>
                <w:rFonts w:ascii="Arial" w:hAnsi="Arial" w:cs="Arial"/>
                <w:color w:val="000000"/>
                <w:sz w:val="22"/>
                <w:szCs w:val="22"/>
              </w:rPr>
              <w:t xml:space="preserve">severe anoxic brain damage;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 xml:space="preserve">cerebral edema; or </w:t>
            </w:r>
            <w:r w:rsidRPr="003F0046">
              <w:rPr>
                <w:rFonts w:ascii="Arial" w:hAnsi="Arial" w:cs="Arial"/>
                <w:color w:val="000000"/>
                <w:sz w:val="22"/>
                <w:szCs w:val="22"/>
              </w:rPr>
              <w:br/>
            </w:r>
            <w:r w:rsidRPr="003F0046">
              <w:rPr>
                <w:rFonts w:ascii="Arial" w:eastAsia="MS Gothic" w:hAnsi="Arial" w:cs="Arial"/>
                <w:color w:val="000000"/>
                <w:sz w:val="22"/>
                <w:szCs w:val="22"/>
              </w:rPr>
              <w:t>・</w:t>
            </w:r>
            <w:r w:rsidRPr="003F0046">
              <w:rPr>
                <w:rFonts w:ascii="Arial" w:hAnsi="Arial" w:cs="Arial"/>
                <w:color w:val="000000"/>
                <w:sz w:val="22"/>
                <w:szCs w:val="22"/>
              </w:rPr>
              <w:t>compression of brain</w:t>
            </w:r>
          </w:p>
        </w:tc>
        <w:tc>
          <w:tcPr>
            <w:tcW w:w="706" w:type="dxa"/>
            <w:tcBorders>
              <w:top w:val="nil"/>
              <w:left w:val="nil"/>
              <w:bottom w:val="single" w:sz="4" w:space="0" w:color="auto"/>
              <w:right w:val="nil"/>
            </w:tcBorders>
            <w:shd w:val="clear" w:color="000000" w:fill="FFFFFF"/>
            <w:noWrap/>
            <w:vAlign w:val="bottom"/>
            <w:hideMark/>
          </w:tcPr>
          <w:p w14:paraId="584A9CE4"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10</w:t>
            </w:r>
          </w:p>
        </w:tc>
        <w:tc>
          <w:tcPr>
            <w:tcW w:w="987" w:type="dxa"/>
            <w:tcBorders>
              <w:top w:val="nil"/>
              <w:left w:val="nil"/>
              <w:bottom w:val="single" w:sz="4" w:space="0" w:color="auto"/>
              <w:right w:val="single" w:sz="4" w:space="0" w:color="auto"/>
            </w:tcBorders>
            <w:shd w:val="clear" w:color="000000" w:fill="FFFFFF"/>
            <w:noWrap/>
            <w:vAlign w:val="bottom"/>
            <w:hideMark/>
          </w:tcPr>
          <w:p w14:paraId="4171C8CB"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(0.1%)</w:t>
            </w:r>
          </w:p>
        </w:tc>
      </w:tr>
      <w:tr w:rsidR="00E04ABD" w:rsidRPr="003F0046" w14:paraId="01345632"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02ACB2EF"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Younger than 21 years old</w:t>
            </w:r>
          </w:p>
        </w:tc>
        <w:tc>
          <w:tcPr>
            <w:tcW w:w="706" w:type="dxa"/>
            <w:tcBorders>
              <w:top w:val="nil"/>
              <w:left w:val="nil"/>
              <w:bottom w:val="single" w:sz="4" w:space="0" w:color="auto"/>
              <w:right w:val="nil"/>
            </w:tcBorders>
            <w:shd w:val="clear" w:color="000000" w:fill="FFFFFF"/>
            <w:noWrap/>
            <w:vAlign w:val="bottom"/>
            <w:hideMark/>
          </w:tcPr>
          <w:p w14:paraId="3659283B"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w:t>
            </w:r>
          </w:p>
        </w:tc>
        <w:tc>
          <w:tcPr>
            <w:tcW w:w="987" w:type="dxa"/>
            <w:tcBorders>
              <w:top w:val="nil"/>
              <w:left w:val="nil"/>
              <w:bottom w:val="single" w:sz="4" w:space="0" w:color="auto"/>
              <w:right w:val="single" w:sz="4" w:space="0" w:color="auto"/>
            </w:tcBorders>
            <w:shd w:val="clear" w:color="000000" w:fill="FFFFFF"/>
            <w:noWrap/>
            <w:vAlign w:val="bottom"/>
            <w:hideMark/>
          </w:tcPr>
          <w:p w14:paraId="15693C20"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(0.0%)</w:t>
            </w:r>
          </w:p>
        </w:tc>
      </w:tr>
      <w:tr w:rsidR="00E04ABD" w:rsidRPr="003F0046" w14:paraId="5D3163BF"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FDB62FA"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Not receiving physical therapy or occupational therapy</w:t>
            </w:r>
          </w:p>
        </w:tc>
        <w:tc>
          <w:tcPr>
            <w:tcW w:w="706" w:type="dxa"/>
            <w:tcBorders>
              <w:top w:val="nil"/>
              <w:left w:val="nil"/>
              <w:bottom w:val="single" w:sz="4" w:space="0" w:color="auto"/>
              <w:right w:val="nil"/>
            </w:tcBorders>
            <w:shd w:val="clear" w:color="000000" w:fill="FFFFFF"/>
            <w:noWrap/>
            <w:vAlign w:val="bottom"/>
            <w:hideMark/>
          </w:tcPr>
          <w:p w14:paraId="2E70EE1C"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600</w:t>
            </w:r>
          </w:p>
        </w:tc>
        <w:tc>
          <w:tcPr>
            <w:tcW w:w="987" w:type="dxa"/>
            <w:tcBorders>
              <w:top w:val="nil"/>
              <w:left w:val="nil"/>
              <w:bottom w:val="single" w:sz="4" w:space="0" w:color="auto"/>
              <w:right w:val="single" w:sz="4" w:space="0" w:color="auto"/>
            </w:tcBorders>
            <w:shd w:val="clear" w:color="000000" w:fill="FFFFFF"/>
            <w:noWrap/>
            <w:vAlign w:val="bottom"/>
            <w:hideMark/>
          </w:tcPr>
          <w:p w14:paraId="3D6B6C95"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(7.1%)</w:t>
            </w:r>
          </w:p>
        </w:tc>
      </w:tr>
      <w:tr w:rsidR="00E04ABD" w:rsidRPr="003F0046" w14:paraId="6C28C68A" w14:textId="77777777" w:rsidTr="00B0051B">
        <w:trPr>
          <w:trHeight w:val="320"/>
        </w:trPr>
        <w:tc>
          <w:tcPr>
            <w:tcW w:w="6660" w:type="dxa"/>
            <w:tcBorders>
              <w:top w:val="nil"/>
              <w:left w:val="single" w:sz="4" w:space="0" w:color="auto"/>
              <w:bottom w:val="single" w:sz="4" w:space="0" w:color="auto"/>
              <w:right w:val="single" w:sz="4" w:space="0" w:color="auto"/>
            </w:tcBorders>
            <w:shd w:val="clear" w:color="000000" w:fill="FFFFFF"/>
            <w:noWrap/>
            <w:vAlign w:val="bottom"/>
            <w:hideMark/>
          </w:tcPr>
          <w:p w14:paraId="4ACC8B80"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 xml:space="preserve">Total </w:t>
            </w:r>
            <w:r>
              <w:rPr>
                <w:rFonts w:ascii="Arial" w:hAnsi="Arial" w:cs="Arial"/>
                <w:color w:val="000000"/>
                <w:sz w:val="22"/>
                <w:szCs w:val="22"/>
              </w:rPr>
              <w:t xml:space="preserve">Number of </w:t>
            </w:r>
            <w:r w:rsidRPr="003F0046">
              <w:rPr>
                <w:rFonts w:ascii="Arial" w:hAnsi="Arial" w:cs="Arial"/>
                <w:color w:val="000000"/>
                <w:sz w:val="22"/>
                <w:szCs w:val="22"/>
              </w:rPr>
              <w:t>Exclusion</w:t>
            </w:r>
            <w:r>
              <w:rPr>
                <w:rFonts w:ascii="Arial" w:hAnsi="Arial" w:cs="Arial"/>
                <w:color w:val="000000"/>
                <w:sz w:val="22"/>
                <w:szCs w:val="22"/>
              </w:rPr>
              <w:t>s</w:t>
            </w:r>
          </w:p>
        </w:tc>
        <w:tc>
          <w:tcPr>
            <w:tcW w:w="706" w:type="dxa"/>
            <w:tcBorders>
              <w:top w:val="nil"/>
              <w:left w:val="nil"/>
              <w:bottom w:val="single" w:sz="4" w:space="0" w:color="auto"/>
              <w:right w:val="nil"/>
            </w:tcBorders>
            <w:shd w:val="clear" w:color="000000" w:fill="FFFFFF"/>
            <w:noWrap/>
            <w:vAlign w:val="bottom"/>
            <w:hideMark/>
          </w:tcPr>
          <w:p w14:paraId="241083AB" w14:textId="77777777" w:rsidR="00E04ABD" w:rsidRPr="003F0046" w:rsidRDefault="00E04ABD" w:rsidP="00B0051B">
            <w:pPr>
              <w:jc w:val="right"/>
              <w:rPr>
                <w:rFonts w:ascii="Arial" w:hAnsi="Arial" w:cs="Arial"/>
                <w:color w:val="000000"/>
                <w:sz w:val="22"/>
                <w:szCs w:val="22"/>
              </w:rPr>
            </w:pPr>
            <w:r w:rsidRPr="003F0046">
              <w:rPr>
                <w:rFonts w:ascii="Arial" w:hAnsi="Arial" w:cs="Arial"/>
                <w:color w:val="000000"/>
                <w:sz w:val="22"/>
                <w:szCs w:val="22"/>
              </w:rPr>
              <w:t>1637</w:t>
            </w:r>
          </w:p>
        </w:tc>
        <w:tc>
          <w:tcPr>
            <w:tcW w:w="987" w:type="dxa"/>
            <w:tcBorders>
              <w:top w:val="nil"/>
              <w:left w:val="nil"/>
              <w:bottom w:val="single" w:sz="4" w:space="0" w:color="auto"/>
              <w:right w:val="single" w:sz="4" w:space="0" w:color="auto"/>
            </w:tcBorders>
            <w:shd w:val="clear" w:color="000000" w:fill="FFFFFF"/>
            <w:noWrap/>
            <w:vAlign w:val="bottom"/>
            <w:hideMark/>
          </w:tcPr>
          <w:p w14:paraId="28980C9E" w14:textId="77777777" w:rsidR="00E04ABD" w:rsidRPr="003F0046" w:rsidRDefault="00E04ABD" w:rsidP="00B0051B">
            <w:pPr>
              <w:rPr>
                <w:rFonts w:ascii="Arial" w:hAnsi="Arial" w:cs="Arial"/>
                <w:color w:val="000000"/>
                <w:sz w:val="22"/>
                <w:szCs w:val="22"/>
              </w:rPr>
            </w:pPr>
            <w:r w:rsidRPr="003F0046">
              <w:rPr>
                <w:rFonts w:ascii="Arial" w:hAnsi="Arial" w:cs="Arial"/>
                <w:color w:val="000000"/>
                <w:sz w:val="22"/>
                <w:szCs w:val="22"/>
              </w:rPr>
              <w:t>(19.4%)</w:t>
            </w:r>
          </w:p>
        </w:tc>
      </w:tr>
    </w:tbl>
    <w:p w14:paraId="73557E5C" w14:textId="77777777" w:rsidR="00E04ABD" w:rsidRDefault="00E04ABD" w:rsidP="00E04ABD">
      <w:pPr>
        <w:spacing w:line="480" w:lineRule="auto"/>
        <w:rPr>
          <w:rFonts w:ascii="Arial" w:hAnsi="Arial" w:cs="Arial"/>
          <w:sz w:val="22"/>
          <w:szCs w:val="22"/>
        </w:rPr>
      </w:pPr>
    </w:p>
    <w:p w14:paraId="31DD94B8" w14:textId="77777777" w:rsidR="00E04ABD" w:rsidRDefault="00E04ABD" w:rsidP="00E04ABD">
      <w:pPr>
        <w:rPr>
          <w:rFonts w:ascii="Arial" w:hAnsi="Arial" w:cs="Arial"/>
          <w:sz w:val="22"/>
          <w:szCs w:val="22"/>
        </w:rPr>
      </w:pPr>
      <w:r>
        <w:rPr>
          <w:rFonts w:ascii="Arial" w:hAnsi="Arial" w:cs="Arial"/>
          <w:sz w:val="22"/>
          <w:szCs w:val="22"/>
        </w:rPr>
        <w:br w:type="page"/>
      </w:r>
    </w:p>
    <w:p w14:paraId="1C9F3615" w14:textId="77777777" w:rsidR="00E04ABD" w:rsidRDefault="00E04ABD" w:rsidP="00E04ABD">
      <w:pPr>
        <w:rPr>
          <w:rFonts w:ascii="Arial" w:hAnsi="Arial" w:cs="Arial"/>
          <w:b/>
          <w:sz w:val="22"/>
          <w:szCs w:val="22"/>
        </w:rPr>
      </w:pPr>
    </w:p>
    <w:p w14:paraId="22EA71F0" w14:textId="77777777" w:rsidR="00E04ABD" w:rsidRDefault="00E04ABD" w:rsidP="00E04ABD">
      <w:pPr>
        <w:rPr>
          <w:rFonts w:ascii="Arial" w:hAnsi="Arial" w:cs="Arial"/>
          <w:sz w:val="22"/>
          <w:szCs w:val="22"/>
        </w:rPr>
      </w:pPr>
      <w:r w:rsidRPr="003F0046">
        <w:rPr>
          <w:rFonts w:ascii="Arial" w:hAnsi="Arial" w:cs="Arial"/>
          <w:b/>
          <w:sz w:val="22"/>
          <w:szCs w:val="22"/>
        </w:rPr>
        <w:t xml:space="preserve">Figure </w:t>
      </w:r>
      <w:r>
        <w:rPr>
          <w:rFonts w:ascii="Arial" w:hAnsi="Arial" w:cs="Arial"/>
          <w:b/>
          <w:sz w:val="22"/>
          <w:szCs w:val="22"/>
        </w:rPr>
        <w:t>A1</w:t>
      </w:r>
      <w:r w:rsidRPr="003F0046">
        <w:rPr>
          <w:rFonts w:ascii="Arial" w:hAnsi="Arial" w:cs="Arial"/>
          <w:b/>
          <w:sz w:val="22"/>
          <w:szCs w:val="22"/>
        </w:rPr>
        <w:t>:</w:t>
      </w:r>
      <w:r w:rsidRPr="003F0046">
        <w:rPr>
          <w:rFonts w:ascii="Arial" w:hAnsi="Arial" w:cs="Arial"/>
          <w:sz w:val="22"/>
          <w:szCs w:val="22"/>
        </w:rPr>
        <w:t xml:space="preserve"> </w:t>
      </w:r>
      <w:r w:rsidRPr="00100E9A">
        <w:rPr>
          <w:rFonts w:ascii="Arial" w:hAnsi="Arial" w:cs="Arial"/>
          <w:b/>
          <w:sz w:val="22"/>
          <w:szCs w:val="22"/>
        </w:rPr>
        <w:t>Exclusion criteria for the functional status models</w:t>
      </w:r>
    </w:p>
    <w:p w14:paraId="1721C168" w14:textId="77777777" w:rsidR="00E04ABD" w:rsidRDefault="00E04ABD" w:rsidP="00E04ABD">
      <w:pPr>
        <w:rPr>
          <w:rFonts w:ascii="Arial" w:hAnsi="Arial" w:cs="Arial"/>
          <w:sz w:val="22"/>
          <w:szCs w:val="22"/>
        </w:rPr>
      </w:pPr>
      <w:r>
        <w:rPr>
          <w:noProof/>
        </w:rPr>
        <w:drawing>
          <wp:inline distT="0" distB="0" distL="0" distR="0" wp14:anchorId="2B90AE7A" wp14:editId="688247D3">
            <wp:extent cx="4521200" cy="2508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966" t="37600" r="14850" b="25560"/>
                    <a:stretch/>
                  </pic:blipFill>
                  <pic:spPr bwMode="auto">
                    <a:xfrm>
                      <a:off x="0" y="0"/>
                      <a:ext cx="4521200" cy="2508250"/>
                    </a:xfrm>
                    <a:prstGeom prst="rect">
                      <a:avLst/>
                    </a:prstGeom>
                    <a:ln>
                      <a:noFill/>
                    </a:ln>
                    <a:extLst>
                      <a:ext uri="{53640926-AAD7-44D8-BBD7-CCE9431645EC}">
                        <a14:shadowObscured xmlns:a14="http://schemas.microsoft.com/office/drawing/2010/main"/>
                      </a:ext>
                    </a:extLst>
                  </pic:spPr>
                </pic:pic>
              </a:graphicData>
            </a:graphic>
          </wp:inline>
        </w:drawing>
      </w:r>
    </w:p>
    <w:p w14:paraId="0505759F" w14:textId="77777777" w:rsidR="00E04ABD" w:rsidRDefault="00E04ABD" w:rsidP="00E04ABD">
      <w:pPr>
        <w:rPr>
          <w:rFonts w:ascii="Arial" w:hAnsi="Arial" w:cs="Arial"/>
          <w:sz w:val="22"/>
          <w:szCs w:val="22"/>
        </w:rPr>
      </w:pPr>
    </w:p>
    <w:p w14:paraId="3D7E0923" w14:textId="77777777" w:rsidR="00E04ABD" w:rsidRDefault="00E04ABD" w:rsidP="00E04ABD">
      <w:pPr>
        <w:spacing w:line="480" w:lineRule="auto"/>
        <w:jc w:val="center"/>
        <w:rPr>
          <w:rFonts w:ascii="Arial" w:hAnsi="Arial" w:cs="Arial"/>
          <w:b/>
          <w:bCs/>
          <w:sz w:val="22"/>
          <w:szCs w:val="22"/>
        </w:rPr>
      </w:pPr>
    </w:p>
    <w:p w14:paraId="27315C48" w14:textId="77777777" w:rsidR="00E04ABD" w:rsidRPr="006D3CDC" w:rsidRDefault="00E04ABD" w:rsidP="00E04ABD">
      <w:pPr>
        <w:spacing w:line="480" w:lineRule="auto"/>
        <w:jc w:val="center"/>
        <w:rPr>
          <w:rFonts w:ascii="Arial" w:hAnsi="Arial" w:cs="Arial"/>
          <w:b/>
          <w:bCs/>
          <w:sz w:val="22"/>
          <w:szCs w:val="22"/>
        </w:rPr>
      </w:pPr>
    </w:p>
    <w:p w14:paraId="2BAE0475" w14:textId="77777777" w:rsidR="00E04ABD" w:rsidRDefault="00E04ABD" w:rsidP="00E04ABD">
      <w:pPr>
        <w:rPr>
          <w:rFonts w:ascii="Arial" w:hAnsi="Arial" w:cs="Arial"/>
          <w:sz w:val="22"/>
          <w:szCs w:val="22"/>
        </w:rPr>
      </w:pPr>
      <w:r>
        <w:rPr>
          <w:rFonts w:ascii="Arial" w:hAnsi="Arial" w:cs="Arial"/>
          <w:sz w:val="22"/>
          <w:szCs w:val="22"/>
        </w:rPr>
        <w:br w:type="page"/>
      </w:r>
    </w:p>
    <w:p w14:paraId="4DEDCF39" w14:textId="77777777" w:rsidR="00E04ABD" w:rsidRPr="004A622E" w:rsidRDefault="00E04ABD" w:rsidP="00E04ABD">
      <w:pPr>
        <w:rPr>
          <w:rFonts w:ascii="Arial" w:hAnsi="Arial" w:cs="Arial"/>
          <w:b/>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2:</w:t>
      </w:r>
      <w:r w:rsidRPr="003F0046">
        <w:rPr>
          <w:rFonts w:ascii="Arial" w:hAnsi="Arial" w:cs="Arial"/>
          <w:sz w:val="22"/>
          <w:szCs w:val="22"/>
        </w:rPr>
        <w:t xml:space="preserve"> </w:t>
      </w:r>
      <w:r w:rsidRPr="004A622E">
        <w:rPr>
          <w:rFonts w:ascii="Arial" w:hAnsi="Arial" w:cs="Arial"/>
          <w:b/>
          <w:sz w:val="22"/>
          <w:szCs w:val="22"/>
        </w:rPr>
        <w:t>Risk adjustors for self-care model</w:t>
      </w:r>
    </w:p>
    <w:p w14:paraId="3733ABED" w14:textId="77777777" w:rsidR="00E04ABD" w:rsidRDefault="00E04ABD" w:rsidP="00E04ABD">
      <w:pPr>
        <w:rPr>
          <w:rFonts w:ascii="Arial" w:hAnsi="Arial" w:cs="Arial"/>
          <w:sz w:val="22"/>
          <w:szCs w:val="22"/>
        </w:rPr>
      </w:pPr>
    </w:p>
    <w:tbl>
      <w:tblPr>
        <w:tblW w:w="10412" w:type="dxa"/>
        <w:tblLook w:val="04A0" w:firstRow="1" w:lastRow="0" w:firstColumn="1" w:lastColumn="0" w:noHBand="0" w:noVBand="1"/>
      </w:tblPr>
      <w:tblGrid>
        <w:gridCol w:w="6475"/>
        <w:gridCol w:w="1457"/>
        <w:gridCol w:w="1240"/>
        <w:gridCol w:w="1240"/>
      </w:tblGrid>
      <w:tr w:rsidR="00E04ABD" w:rsidRPr="00721B07" w14:paraId="5539282A" w14:textId="77777777" w:rsidTr="00D221E3">
        <w:trPr>
          <w:trHeight w:val="290"/>
          <w:tblHeader/>
        </w:trPr>
        <w:tc>
          <w:tcPr>
            <w:tcW w:w="6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845B"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Variable</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3C7D680E"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Coefficient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20DC87D"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5D1305C"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p-value</w:t>
            </w:r>
          </w:p>
        </w:tc>
      </w:tr>
      <w:tr w:rsidR="00E04ABD" w:rsidRPr="00721B07" w14:paraId="2F54E8EE"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CC6BEEF" w14:textId="77777777" w:rsidR="00E04ABD" w:rsidRPr="00721B07" w:rsidRDefault="00E04ABD" w:rsidP="00B0051B">
            <w:pPr>
              <w:rPr>
                <w:rFonts w:ascii="Arial" w:hAnsi="Arial" w:cs="Arial"/>
                <w:color w:val="000000"/>
              </w:rPr>
            </w:pPr>
            <w:r w:rsidRPr="00721B07">
              <w:rPr>
                <w:rFonts w:ascii="Arial" w:hAnsi="Arial" w:cs="Arial"/>
                <w:color w:val="000000"/>
              </w:rPr>
              <w:t>Intercept</w:t>
            </w:r>
          </w:p>
        </w:tc>
        <w:tc>
          <w:tcPr>
            <w:tcW w:w="1457" w:type="dxa"/>
            <w:tcBorders>
              <w:top w:val="nil"/>
              <w:left w:val="nil"/>
              <w:bottom w:val="single" w:sz="4" w:space="0" w:color="auto"/>
              <w:right w:val="single" w:sz="4" w:space="0" w:color="auto"/>
            </w:tcBorders>
            <w:shd w:val="clear" w:color="auto" w:fill="auto"/>
            <w:noWrap/>
            <w:vAlign w:val="bottom"/>
            <w:hideMark/>
          </w:tcPr>
          <w:p w14:paraId="3F978AFA" w14:textId="77777777" w:rsidR="00E04ABD" w:rsidRPr="00721B07" w:rsidRDefault="00E04ABD" w:rsidP="00B0051B">
            <w:pPr>
              <w:jc w:val="right"/>
              <w:rPr>
                <w:rFonts w:ascii="Arial" w:hAnsi="Arial" w:cs="Arial"/>
                <w:color w:val="000000"/>
              </w:rPr>
            </w:pPr>
            <w:r w:rsidRPr="00721B07">
              <w:rPr>
                <w:rFonts w:ascii="Arial" w:hAnsi="Arial" w:cs="Arial"/>
                <w:color w:val="000000"/>
              </w:rPr>
              <w:t>12.089</w:t>
            </w:r>
          </w:p>
        </w:tc>
        <w:tc>
          <w:tcPr>
            <w:tcW w:w="1240" w:type="dxa"/>
            <w:tcBorders>
              <w:top w:val="nil"/>
              <w:left w:val="nil"/>
              <w:bottom w:val="single" w:sz="4" w:space="0" w:color="auto"/>
              <w:right w:val="single" w:sz="4" w:space="0" w:color="auto"/>
            </w:tcBorders>
            <w:shd w:val="clear" w:color="auto" w:fill="auto"/>
            <w:noWrap/>
            <w:vAlign w:val="bottom"/>
            <w:hideMark/>
          </w:tcPr>
          <w:p w14:paraId="33BB5C7B" w14:textId="77777777" w:rsidR="00E04ABD" w:rsidRPr="00721B07" w:rsidRDefault="00E04ABD" w:rsidP="00B0051B">
            <w:pPr>
              <w:jc w:val="right"/>
              <w:rPr>
                <w:rFonts w:ascii="Arial" w:hAnsi="Arial" w:cs="Arial"/>
                <w:color w:val="000000"/>
              </w:rPr>
            </w:pPr>
            <w:r w:rsidRPr="00721B07">
              <w:rPr>
                <w:rFonts w:ascii="Arial" w:hAnsi="Arial" w:cs="Arial"/>
                <w:color w:val="000000"/>
              </w:rPr>
              <w:t>1.770</w:t>
            </w:r>
          </w:p>
        </w:tc>
        <w:tc>
          <w:tcPr>
            <w:tcW w:w="1240" w:type="dxa"/>
            <w:tcBorders>
              <w:top w:val="nil"/>
              <w:left w:val="nil"/>
              <w:bottom w:val="single" w:sz="4" w:space="0" w:color="auto"/>
              <w:right w:val="single" w:sz="4" w:space="0" w:color="auto"/>
            </w:tcBorders>
            <w:shd w:val="clear" w:color="auto" w:fill="auto"/>
            <w:noWrap/>
            <w:vAlign w:val="bottom"/>
            <w:hideMark/>
          </w:tcPr>
          <w:p w14:paraId="35D7B55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C12CB0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778C4E1" w14:textId="77777777" w:rsidR="00E04ABD" w:rsidRPr="00721B07" w:rsidRDefault="00E04ABD" w:rsidP="00B0051B">
            <w:pPr>
              <w:rPr>
                <w:rFonts w:ascii="Arial" w:hAnsi="Arial" w:cs="Arial"/>
                <w:color w:val="000000"/>
              </w:rPr>
            </w:pPr>
            <w:r w:rsidRPr="00721B07">
              <w:rPr>
                <w:rFonts w:ascii="Arial" w:hAnsi="Arial" w:cs="Arial"/>
                <w:color w:val="000000"/>
              </w:rPr>
              <w:t>Younger than 35</w:t>
            </w:r>
          </w:p>
        </w:tc>
        <w:tc>
          <w:tcPr>
            <w:tcW w:w="1457" w:type="dxa"/>
            <w:tcBorders>
              <w:top w:val="nil"/>
              <w:left w:val="nil"/>
              <w:bottom w:val="single" w:sz="4" w:space="0" w:color="auto"/>
              <w:right w:val="single" w:sz="4" w:space="0" w:color="auto"/>
            </w:tcBorders>
            <w:shd w:val="clear" w:color="auto" w:fill="auto"/>
            <w:noWrap/>
            <w:vAlign w:val="bottom"/>
            <w:hideMark/>
          </w:tcPr>
          <w:p w14:paraId="1F25E473" w14:textId="77777777" w:rsidR="00E04ABD" w:rsidRPr="00721B07" w:rsidRDefault="00E04ABD" w:rsidP="00B0051B">
            <w:pPr>
              <w:jc w:val="right"/>
              <w:rPr>
                <w:rFonts w:ascii="Arial" w:hAnsi="Arial" w:cs="Arial"/>
                <w:color w:val="000000"/>
              </w:rPr>
            </w:pPr>
            <w:r w:rsidRPr="00721B07">
              <w:rPr>
                <w:rFonts w:ascii="Arial" w:hAnsi="Arial" w:cs="Arial"/>
                <w:color w:val="000000"/>
              </w:rPr>
              <w:t>-0.068</w:t>
            </w:r>
          </w:p>
        </w:tc>
        <w:tc>
          <w:tcPr>
            <w:tcW w:w="1240" w:type="dxa"/>
            <w:tcBorders>
              <w:top w:val="nil"/>
              <w:left w:val="nil"/>
              <w:bottom w:val="single" w:sz="4" w:space="0" w:color="auto"/>
              <w:right w:val="single" w:sz="4" w:space="0" w:color="auto"/>
            </w:tcBorders>
            <w:shd w:val="clear" w:color="auto" w:fill="auto"/>
            <w:noWrap/>
            <w:vAlign w:val="bottom"/>
            <w:hideMark/>
          </w:tcPr>
          <w:p w14:paraId="0BB9DB29" w14:textId="77777777" w:rsidR="00E04ABD" w:rsidRPr="00721B07" w:rsidRDefault="00E04ABD" w:rsidP="00B0051B">
            <w:pPr>
              <w:jc w:val="right"/>
              <w:rPr>
                <w:rFonts w:ascii="Arial" w:hAnsi="Arial" w:cs="Arial"/>
                <w:color w:val="000000"/>
              </w:rPr>
            </w:pPr>
            <w:r w:rsidRPr="00721B07">
              <w:rPr>
                <w:rFonts w:ascii="Arial" w:hAnsi="Arial" w:cs="Arial"/>
                <w:color w:val="000000"/>
              </w:rPr>
              <w:t>0.788</w:t>
            </w:r>
          </w:p>
        </w:tc>
        <w:tc>
          <w:tcPr>
            <w:tcW w:w="1240" w:type="dxa"/>
            <w:tcBorders>
              <w:top w:val="nil"/>
              <w:left w:val="nil"/>
              <w:bottom w:val="single" w:sz="4" w:space="0" w:color="auto"/>
              <w:right w:val="single" w:sz="4" w:space="0" w:color="auto"/>
            </w:tcBorders>
            <w:shd w:val="clear" w:color="auto" w:fill="auto"/>
            <w:noWrap/>
            <w:vAlign w:val="bottom"/>
            <w:hideMark/>
          </w:tcPr>
          <w:p w14:paraId="74195D07" w14:textId="77777777" w:rsidR="00E04ABD" w:rsidRPr="00721B07" w:rsidRDefault="00E04ABD" w:rsidP="00B0051B">
            <w:pPr>
              <w:jc w:val="right"/>
              <w:rPr>
                <w:rFonts w:ascii="Arial" w:hAnsi="Arial" w:cs="Arial"/>
                <w:color w:val="000000"/>
              </w:rPr>
            </w:pPr>
            <w:r w:rsidRPr="00721B07">
              <w:rPr>
                <w:rFonts w:ascii="Arial" w:hAnsi="Arial" w:cs="Arial"/>
                <w:color w:val="000000"/>
              </w:rPr>
              <w:t>0.931</w:t>
            </w:r>
          </w:p>
        </w:tc>
      </w:tr>
      <w:tr w:rsidR="00E04ABD" w:rsidRPr="00721B07" w14:paraId="3576BB3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803C48D" w14:textId="77777777" w:rsidR="00E04ABD" w:rsidRPr="00721B07" w:rsidRDefault="00E04ABD" w:rsidP="00B0051B">
            <w:pPr>
              <w:rPr>
                <w:rFonts w:ascii="Arial" w:hAnsi="Arial" w:cs="Arial"/>
                <w:color w:val="000000"/>
              </w:rPr>
            </w:pPr>
            <w:r w:rsidRPr="00721B07">
              <w:rPr>
                <w:rFonts w:ascii="Arial" w:hAnsi="Arial" w:cs="Arial"/>
                <w:color w:val="000000"/>
              </w:rPr>
              <w:t>35-44</w:t>
            </w:r>
          </w:p>
        </w:tc>
        <w:tc>
          <w:tcPr>
            <w:tcW w:w="1457" w:type="dxa"/>
            <w:tcBorders>
              <w:top w:val="nil"/>
              <w:left w:val="nil"/>
              <w:bottom w:val="single" w:sz="4" w:space="0" w:color="auto"/>
              <w:right w:val="single" w:sz="4" w:space="0" w:color="auto"/>
            </w:tcBorders>
            <w:shd w:val="clear" w:color="auto" w:fill="auto"/>
            <w:noWrap/>
            <w:vAlign w:val="bottom"/>
            <w:hideMark/>
          </w:tcPr>
          <w:p w14:paraId="53983C79" w14:textId="77777777" w:rsidR="00E04ABD" w:rsidRPr="00721B07" w:rsidRDefault="00E04ABD" w:rsidP="00B0051B">
            <w:pPr>
              <w:jc w:val="right"/>
              <w:rPr>
                <w:rFonts w:ascii="Arial" w:hAnsi="Arial" w:cs="Arial"/>
                <w:color w:val="000000"/>
              </w:rPr>
            </w:pPr>
            <w:r w:rsidRPr="00721B07">
              <w:rPr>
                <w:rFonts w:ascii="Arial" w:hAnsi="Arial" w:cs="Arial"/>
                <w:color w:val="000000"/>
              </w:rPr>
              <w:t>-0.217</w:t>
            </w:r>
          </w:p>
        </w:tc>
        <w:tc>
          <w:tcPr>
            <w:tcW w:w="1240" w:type="dxa"/>
            <w:tcBorders>
              <w:top w:val="nil"/>
              <w:left w:val="nil"/>
              <w:bottom w:val="single" w:sz="4" w:space="0" w:color="auto"/>
              <w:right w:val="single" w:sz="4" w:space="0" w:color="auto"/>
            </w:tcBorders>
            <w:shd w:val="clear" w:color="auto" w:fill="auto"/>
            <w:noWrap/>
            <w:vAlign w:val="bottom"/>
            <w:hideMark/>
          </w:tcPr>
          <w:p w14:paraId="1254D357" w14:textId="77777777" w:rsidR="00E04ABD" w:rsidRPr="00721B07" w:rsidRDefault="00E04ABD" w:rsidP="00B0051B">
            <w:pPr>
              <w:jc w:val="right"/>
              <w:rPr>
                <w:rFonts w:ascii="Arial" w:hAnsi="Arial" w:cs="Arial"/>
                <w:color w:val="000000"/>
              </w:rPr>
            </w:pPr>
            <w:r w:rsidRPr="00721B07">
              <w:rPr>
                <w:rFonts w:ascii="Arial" w:hAnsi="Arial" w:cs="Arial"/>
                <w:color w:val="000000"/>
              </w:rPr>
              <w:t>0.914</w:t>
            </w:r>
          </w:p>
        </w:tc>
        <w:tc>
          <w:tcPr>
            <w:tcW w:w="1240" w:type="dxa"/>
            <w:tcBorders>
              <w:top w:val="nil"/>
              <w:left w:val="nil"/>
              <w:bottom w:val="single" w:sz="4" w:space="0" w:color="auto"/>
              <w:right w:val="single" w:sz="4" w:space="0" w:color="auto"/>
            </w:tcBorders>
            <w:shd w:val="clear" w:color="auto" w:fill="auto"/>
            <w:noWrap/>
            <w:vAlign w:val="bottom"/>
            <w:hideMark/>
          </w:tcPr>
          <w:p w14:paraId="5B3C5ADD" w14:textId="77777777" w:rsidR="00E04ABD" w:rsidRPr="00721B07" w:rsidRDefault="00E04ABD" w:rsidP="00B0051B">
            <w:pPr>
              <w:jc w:val="right"/>
              <w:rPr>
                <w:rFonts w:ascii="Arial" w:hAnsi="Arial" w:cs="Arial"/>
                <w:color w:val="000000"/>
              </w:rPr>
            </w:pPr>
            <w:r w:rsidRPr="00721B07">
              <w:rPr>
                <w:rFonts w:ascii="Arial" w:hAnsi="Arial" w:cs="Arial"/>
                <w:color w:val="000000"/>
              </w:rPr>
              <w:t>0.813</w:t>
            </w:r>
          </w:p>
        </w:tc>
      </w:tr>
      <w:tr w:rsidR="00E04ABD" w:rsidRPr="00721B07" w14:paraId="3DFA8B4C"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6F8C1D0" w14:textId="77777777" w:rsidR="00E04ABD" w:rsidRPr="00721B07" w:rsidRDefault="00E04ABD" w:rsidP="00B0051B">
            <w:pPr>
              <w:rPr>
                <w:rFonts w:ascii="Arial" w:hAnsi="Arial" w:cs="Arial"/>
                <w:color w:val="000000"/>
              </w:rPr>
            </w:pPr>
            <w:r w:rsidRPr="00721B07">
              <w:rPr>
                <w:rFonts w:ascii="Arial" w:hAnsi="Arial" w:cs="Arial"/>
                <w:color w:val="000000"/>
              </w:rPr>
              <w:t>45-54</w:t>
            </w:r>
          </w:p>
        </w:tc>
        <w:tc>
          <w:tcPr>
            <w:tcW w:w="1457" w:type="dxa"/>
            <w:tcBorders>
              <w:top w:val="nil"/>
              <w:left w:val="nil"/>
              <w:bottom w:val="single" w:sz="4" w:space="0" w:color="auto"/>
              <w:right w:val="single" w:sz="4" w:space="0" w:color="auto"/>
            </w:tcBorders>
            <w:shd w:val="clear" w:color="auto" w:fill="auto"/>
            <w:noWrap/>
            <w:vAlign w:val="bottom"/>
            <w:hideMark/>
          </w:tcPr>
          <w:p w14:paraId="30300F12" w14:textId="77777777" w:rsidR="00E04ABD" w:rsidRPr="00721B07" w:rsidRDefault="00E04ABD" w:rsidP="00B0051B">
            <w:pPr>
              <w:jc w:val="right"/>
              <w:rPr>
                <w:rFonts w:ascii="Arial" w:hAnsi="Arial" w:cs="Arial"/>
                <w:color w:val="000000"/>
              </w:rPr>
            </w:pPr>
            <w:r w:rsidRPr="00721B07">
              <w:rPr>
                <w:rFonts w:ascii="Arial" w:hAnsi="Arial" w:cs="Arial"/>
                <w:color w:val="000000"/>
              </w:rPr>
              <w:t>0.970</w:t>
            </w:r>
          </w:p>
        </w:tc>
        <w:tc>
          <w:tcPr>
            <w:tcW w:w="1240" w:type="dxa"/>
            <w:tcBorders>
              <w:top w:val="nil"/>
              <w:left w:val="nil"/>
              <w:bottom w:val="single" w:sz="4" w:space="0" w:color="auto"/>
              <w:right w:val="single" w:sz="4" w:space="0" w:color="auto"/>
            </w:tcBorders>
            <w:shd w:val="clear" w:color="auto" w:fill="auto"/>
            <w:noWrap/>
            <w:vAlign w:val="bottom"/>
            <w:hideMark/>
          </w:tcPr>
          <w:p w14:paraId="3EBEFC75" w14:textId="77777777" w:rsidR="00E04ABD" w:rsidRPr="00721B07" w:rsidRDefault="00E04ABD" w:rsidP="00B0051B">
            <w:pPr>
              <w:jc w:val="right"/>
              <w:rPr>
                <w:rFonts w:ascii="Arial" w:hAnsi="Arial" w:cs="Arial"/>
                <w:color w:val="000000"/>
              </w:rPr>
            </w:pPr>
            <w:r w:rsidRPr="00721B07">
              <w:rPr>
                <w:rFonts w:ascii="Arial" w:hAnsi="Arial" w:cs="Arial"/>
                <w:color w:val="000000"/>
              </w:rPr>
              <w:t>0.505</w:t>
            </w:r>
          </w:p>
        </w:tc>
        <w:tc>
          <w:tcPr>
            <w:tcW w:w="1240" w:type="dxa"/>
            <w:tcBorders>
              <w:top w:val="nil"/>
              <w:left w:val="nil"/>
              <w:bottom w:val="single" w:sz="4" w:space="0" w:color="auto"/>
              <w:right w:val="single" w:sz="4" w:space="0" w:color="auto"/>
            </w:tcBorders>
            <w:shd w:val="clear" w:color="auto" w:fill="auto"/>
            <w:noWrap/>
            <w:vAlign w:val="bottom"/>
            <w:hideMark/>
          </w:tcPr>
          <w:p w14:paraId="3FE7E2F4" w14:textId="77777777" w:rsidR="00E04ABD" w:rsidRPr="00721B07" w:rsidRDefault="00E04ABD" w:rsidP="00B0051B">
            <w:pPr>
              <w:jc w:val="right"/>
              <w:rPr>
                <w:rFonts w:ascii="Arial" w:hAnsi="Arial" w:cs="Arial"/>
                <w:color w:val="000000"/>
              </w:rPr>
            </w:pPr>
            <w:r w:rsidRPr="00721B07">
              <w:rPr>
                <w:rFonts w:ascii="Arial" w:hAnsi="Arial" w:cs="Arial"/>
                <w:color w:val="000000"/>
              </w:rPr>
              <w:t>0.054</w:t>
            </w:r>
          </w:p>
        </w:tc>
      </w:tr>
      <w:tr w:rsidR="00E04ABD" w:rsidRPr="00721B07" w14:paraId="3A86B75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FBEC896" w14:textId="77777777" w:rsidR="00E04ABD" w:rsidRPr="00721B07" w:rsidRDefault="00E04ABD" w:rsidP="00B0051B">
            <w:pPr>
              <w:rPr>
                <w:rFonts w:ascii="Arial" w:hAnsi="Arial" w:cs="Arial"/>
                <w:color w:val="000000"/>
              </w:rPr>
            </w:pPr>
            <w:r w:rsidRPr="00721B07">
              <w:rPr>
                <w:rFonts w:ascii="Arial" w:hAnsi="Arial" w:cs="Arial"/>
                <w:color w:val="000000"/>
              </w:rPr>
              <w:t>55-64</w:t>
            </w:r>
          </w:p>
        </w:tc>
        <w:tc>
          <w:tcPr>
            <w:tcW w:w="1457" w:type="dxa"/>
            <w:tcBorders>
              <w:top w:val="nil"/>
              <w:left w:val="nil"/>
              <w:bottom w:val="single" w:sz="4" w:space="0" w:color="auto"/>
              <w:right w:val="single" w:sz="4" w:space="0" w:color="auto"/>
            </w:tcBorders>
            <w:shd w:val="clear" w:color="auto" w:fill="auto"/>
            <w:noWrap/>
            <w:vAlign w:val="bottom"/>
            <w:hideMark/>
          </w:tcPr>
          <w:p w14:paraId="6522047F" w14:textId="77777777" w:rsidR="00E04ABD" w:rsidRPr="00721B07" w:rsidRDefault="00E04ABD" w:rsidP="00B0051B">
            <w:pPr>
              <w:jc w:val="right"/>
              <w:rPr>
                <w:rFonts w:ascii="Arial" w:hAnsi="Arial" w:cs="Arial"/>
                <w:color w:val="000000"/>
              </w:rPr>
            </w:pPr>
            <w:r w:rsidRPr="00721B07">
              <w:rPr>
                <w:rFonts w:ascii="Arial" w:hAnsi="Arial" w:cs="Arial"/>
                <w:color w:val="000000"/>
              </w:rPr>
              <w:t>-0.181</w:t>
            </w:r>
          </w:p>
        </w:tc>
        <w:tc>
          <w:tcPr>
            <w:tcW w:w="1240" w:type="dxa"/>
            <w:tcBorders>
              <w:top w:val="nil"/>
              <w:left w:val="nil"/>
              <w:bottom w:val="single" w:sz="4" w:space="0" w:color="auto"/>
              <w:right w:val="single" w:sz="4" w:space="0" w:color="auto"/>
            </w:tcBorders>
            <w:shd w:val="clear" w:color="auto" w:fill="auto"/>
            <w:noWrap/>
            <w:vAlign w:val="bottom"/>
            <w:hideMark/>
          </w:tcPr>
          <w:p w14:paraId="65136C74" w14:textId="77777777" w:rsidR="00E04ABD" w:rsidRPr="00721B07" w:rsidRDefault="00E04ABD" w:rsidP="00B0051B">
            <w:pPr>
              <w:jc w:val="right"/>
              <w:rPr>
                <w:rFonts w:ascii="Arial" w:hAnsi="Arial" w:cs="Arial"/>
                <w:color w:val="000000"/>
              </w:rPr>
            </w:pPr>
            <w:r w:rsidRPr="00721B07">
              <w:rPr>
                <w:rFonts w:ascii="Arial" w:hAnsi="Arial" w:cs="Arial"/>
                <w:color w:val="000000"/>
              </w:rPr>
              <w:t>0.282</w:t>
            </w:r>
          </w:p>
        </w:tc>
        <w:tc>
          <w:tcPr>
            <w:tcW w:w="1240" w:type="dxa"/>
            <w:tcBorders>
              <w:top w:val="nil"/>
              <w:left w:val="nil"/>
              <w:bottom w:val="single" w:sz="4" w:space="0" w:color="auto"/>
              <w:right w:val="single" w:sz="4" w:space="0" w:color="auto"/>
            </w:tcBorders>
            <w:shd w:val="clear" w:color="auto" w:fill="auto"/>
            <w:noWrap/>
            <w:vAlign w:val="bottom"/>
            <w:hideMark/>
          </w:tcPr>
          <w:p w14:paraId="353482B2" w14:textId="77777777" w:rsidR="00E04ABD" w:rsidRPr="00721B07" w:rsidRDefault="00E04ABD" w:rsidP="00B0051B">
            <w:pPr>
              <w:jc w:val="right"/>
              <w:rPr>
                <w:rFonts w:ascii="Arial" w:hAnsi="Arial" w:cs="Arial"/>
                <w:color w:val="000000"/>
              </w:rPr>
            </w:pPr>
            <w:r w:rsidRPr="00721B07">
              <w:rPr>
                <w:rFonts w:ascii="Arial" w:hAnsi="Arial" w:cs="Arial"/>
                <w:color w:val="000000"/>
              </w:rPr>
              <w:t>0.522</w:t>
            </w:r>
          </w:p>
        </w:tc>
      </w:tr>
      <w:tr w:rsidR="00E04ABD" w:rsidRPr="00721B07" w14:paraId="196D05D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D353650" w14:textId="77777777" w:rsidR="00E04ABD" w:rsidRPr="00721B07" w:rsidRDefault="00E04ABD" w:rsidP="00B0051B">
            <w:pPr>
              <w:rPr>
                <w:rFonts w:ascii="Arial" w:hAnsi="Arial" w:cs="Arial"/>
                <w:color w:val="000000"/>
              </w:rPr>
            </w:pPr>
            <w:r w:rsidRPr="00721B07">
              <w:rPr>
                <w:rFonts w:ascii="Arial" w:hAnsi="Arial" w:cs="Arial"/>
                <w:color w:val="000000"/>
              </w:rPr>
              <w:t>75-84</w:t>
            </w:r>
          </w:p>
        </w:tc>
        <w:tc>
          <w:tcPr>
            <w:tcW w:w="1457" w:type="dxa"/>
            <w:tcBorders>
              <w:top w:val="nil"/>
              <w:left w:val="nil"/>
              <w:bottom w:val="single" w:sz="4" w:space="0" w:color="auto"/>
              <w:right w:val="single" w:sz="4" w:space="0" w:color="auto"/>
            </w:tcBorders>
            <w:shd w:val="clear" w:color="auto" w:fill="auto"/>
            <w:noWrap/>
            <w:vAlign w:val="bottom"/>
            <w:hideMark/>
          </w:tcPr>
          <w:p w14:paraId="5D71787F" w14:textId="77777777" w:rsidR="00E04ABD" w:rsidRPr="00721B07" w:rsidRDefault="00E04ABD" w:rsidP="00B0051B">
            <w:pPr>
              <w:jc w:val="right"/>
              <w:rPr>
                <w:rFonts w:ascii="Arial" w:hAnsi="Arial" w:cs="Arial"/>
                <w:color w:val="000000"/>
              </w:rPr>
            </w:pPr>
            <w:r w:rsidRPr="00721B07">
              <w:rPr>
                <w:rFonts w:ascii="Arial" w:hAnsi="Arial" w:cs="Arial"/>
                <w:color w:val="000000"/>
              </w:rPr>
              <w:t>-0.618</w:t>
            </w:r>
          </w:p>
        </w:tc>
        <w:tc>
          <w:tcPr>
            <w:tcW w:w="1240" w:type="dxa"/>
            <w:tcBorders>
              <w:top w:val="nil"/>
              <w:left w:val="nil"/>
              <w:bottom w:val="single" w:sz="4" w:space="0" w:color="auto"/>
              <w:right w:val="single" w:sz="4" w:space="0" w:color="auto"/>
            </w:tcBorders>
            <w:shd w:val="clear" w:color="auto" w:fill="auto"/>
            <w:noWrap/>
            <w:vAlign w:val="bottom"/>
            <w:hideMark/>
          </w:tcPr>
          <w:p w14:paraId="65288D61" w14:textId="77777777" w:rsidR="00E04ABD" w:rsidRPr="00721B07" w:rsidRDefault="00E04ABD" w:rsidP="00B0051B">
            <w:pPr>
              <w:jc w:val="right"/>
              <w:rPr>
                <w:rFonts w:ascii="Arial" w:hAnsi="Arial" w:cs="Arial"/>
                <w:color w:val="000000"/>
              </w:rPr>
            </w:pPr>
            <w:r w:rsidRPr="00721B07">
              <w:rPr>
                <w:rFonts w:ascii="Arial" w:hAnsi="Arial" w:cs="Arial"/>
                <w:color w:val="000000"/>
              </w:rPr>
              <w:t>0.226</w:t>
            </w:r>
          </w:p>
        </w:tc>
        <w:tc>
          <w:tcPr>
            <w:tcW w:w="1240" w:type="dxa"/>
            <w:tcBorders>
              <w:top w:val="nil"/>
              <w:left w:val="nil"/>
              <w:bottom w:val="single" w:sz="4" w:space="0" w:color="auto"/>
              <w:right w:val="single" w:sz="4" w:space="0" w:color="auto"/>
            </w:tcBorders>
            <w:shd w:val="clear" w:color="auto" w:fill="auto"/>
            <w:noWrap/>
            <w:vAlign w:val="bottom"/>
            <w:hideMark/>
          </w:tcPr>
          <w:p w14:paraId="5FC4BBFF" w14:textId="77777777" w:rsidR="00E04ABD" w:rsidRPr="00721B07" w:rsidRDefault="00E04ABD" w:rsidP="00B0051B">
            <w:pPr>
              <w:jc w:val="right"/>
              <w:rPr>
                <w:rFonts w:ascii="Arial" w:hAnsi="Arial" w:cs="Arial"/>
                <w:color w:val="000000"/>
              </w:rPr>
            </w:pPr>
            <w:r w:rsidRPr="00721B07">
              <w:rPr>
                <w:rFonts w:ascii="Arial" w:hAnsi="Arial" w:cs="Arial"/>
                <w:color w:val="000000"/>
              </w:rPr>
              <w:t>0.006</w:t>
            </w:r>
          </w:p>
        </w:tc>
      </w:tr>
      <w:tr w:rsidR="00E04ABD" w:rsidRPr="00721B07" w14:paraId="1BC24800"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6861201" w14:textId="77777777" w:rsidR="00E04ABD" w:rsidRPr="00721B07" w:rsidRDefault="00E04ABD" w:rsidP="00B0051B">
            <w:pPr>
              <w:rPr>
                <w:rFonts w:ascii="Arial" w:hAnsi="Arial" w:cs="Arial"/>
                <w:color w:val="000000"/>
              </w:rPr>
            </w:pPr>
            <w:r w:rsidRPr="00721B07">
              <w:rPr>
                <w:rFonts w:ascii="Arial" w:hAnsi="Arial" w:cs="Arial"/>
                <w:color w:val="000000"/>
              </w:rPr>
              <w:t>85-90</w:t>
            </w:r>
          </w:p>
        </w:tc>
        <w:tc>
          <w:tcPr>
            <w:tcW w:w="1457" w:type="dxa"/>
            <w:tcBorders>
              <w:top w:val="nil"/>
              <w:left w:val="nil"/>
              <w:bottom w:val="single" w:sz="4" w:space="0" w:color="auto"/>
              <w:right w:val="single" w:sz="4" w:space="0" w:color="auto"/>
            </w:tcBorders>
            <w:shd w:val="clear" w:color="auto" w:fill="auto"/>
            <w:noWrap/>
            <w:vAlign w:val="bottom"/>
            <w:hideMark/>
          </w:tcPr>
          <w:p w14:paraId="606D5E5E" w14:textId="77777777" w:rsidR="00E04ABD" w:rsidRPr="00721B07" w:rsidRDefault="00E04ABD" w:rsidP="00B0051B">
            <w:pPr>
              <w:jc w:val="right"/>
              <w:rPr>
                <w:rFonts w:ascii="Arial" w:hAnsi="Arial" w:cs="Arial"/>
                <w:color w:val="000000"/>
              </w:rPr>
            </w:pPr>
            <w:r w:rsidRPr="00721B07">
              <w:rPr>
                <w:rFonts w:ascii="Arial" w:hAnsi="Arial" w:cs="Arial"/>
                <w:color w:val="000000"/>
              </w:rPr>
              <w:t>-0.822</w:t>
            </w:r>
          </w:p>
        </w:tc>
        <w:tc>
          <w:tcPr>
            <w:tcW w:w="1240" w:type="dxa"/>
            <w:tcBorders>
              <w:top w:val="nil"/>
              <w:left w:val="nil"/>
              <w:bottom w:val="single" w:sz="4" w:space="0" w:color="auto"/>
              <w:right w:val="single" w:sz="4" w:space="0" w:color="auto"/>
            </w:tcBorders>
            <w:shd w:val="clear" w:color="auto" w:fill="auto"/>
            <w:noWrap/>
            <w:vAlign w:val="bottom"/>
            <w:hideMark/>
          </w:tcPr>
          <w:p w14:paraId="5ECA2A37" w14:textId="77777777" w:rsidR="00E04ABD" w:rsidRPr="00721B07" w:rsidRDefault="00E04ABD" w:rsidP="00B0051B">
            <w:pPr>
              <w:jc w:val="right"/>
              <w:rPr>
                <w:rFonts w:ascii="Arial" w:hAnsi="Arial" w:cs="Arial"/>
                <w:color w:val="000000"/>
              </w:rPr>
            </w:pPr>
            <w:r w:rsidRPr="00721B07">
              <w:rPr>
                <w:rFonts w:ascii="Arial" w:hAnsi="Arial" w:cs="Arial"/>
                <w:color w:val="000000"/>
              </w:rPr>
              <w:t>0.257</w:t>
            </w:r>
          </w:p>
        </w:tc>
        <w:tc>
          <w:tcPr>
            <w:tcW w:w="1240" w:type="dxa"/>
            <w:tcBorders>
              <w:top w:val="nil"/>
              <w:left w:val="nil"/>
              <w:bottom w:val="single" w:sz="4" w:space="0" w:color="auto"/>
              <w:right w:val="single" w:sz="4" w:space="0" w:color="auto"/>
            </w:tcBorders>
            <w:shd w:val="clear" w:color="auto" w:fill="auto"/>
            <w:noWrap/>
            <w:vAlign w:val="bottom"/>
            <w:hideMark/>
          </w:tcPr>
          <w:p w14:paraId="0CC279AB"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2B556F6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750E84B" w14:textId="77777777" w:rsidR="00E04ABD" w:rsidRPr="00721B07" w:rsidRDefault="00E04ABD" w:rsidP="00B0051B">
            <w:pPr>
              <w:rPr>
                <w:rFonts w:ascii="Arial" w:hAnsi="Arial" w:cs="Arial"/>
                <w:color w:val="000000"/>
              </w:rPr>
            </w:pPr>
            <w:r w:rsidRPr="00721B07">
              <w:rPr>
                <w:rFonts w:ascii="Arial" w:hAnsi="Arial" w:cs="Arial"/>
                <w:color w:val="000000"/>
              </w:rPr>
              <w:t>Older than 90</w:t>
            </w:r>
          </w:p>
        </w:tc>
        <w:tc>
          <w:tcPr>
            <w:tcW w:w="1457" w:type="dxa"/>
            <w:tcBorders>
              <w:top w:val="nil"/>
              <w:left w:val="nil"/>
              <w:bottom w:val="single" w:sz="4" w:space="0" w:color="auto"/>
              <w:right w:val="single" w:sz="4" w:space="0" w:color="auto"/>
            </w:tcBorders>
            <w:shd w:val="clear" w:color="auto" w:fill="auto"/>
            <w:noWrap/>
            <w:vAlign w:val="bottom"/>
            <w:hideMark/>
          </w:tcPr>
          <w:p w14:paraId="45EC32E1" w14:textId="77777777" w:rsidR="00E04ABD" w:rsidRPr="00721B07" w:rsidRDefault="00E04ABD" w:rsidP="00B0051B">
            <w:pPr>
              <w:jc w:val="right"/>
              <w:rPr>
                <w:rFonts w:ascii="Arial" w:hAnsi="Arial" w:cs="Arial"/>
                <w:color w:val="000000"/>
              </w:rPr>
            </w:pPr>
            <w:r w:rsidRPr="00721B07">
              <w:rPr>
                <w:rFonts w:ascii="Arial" w:hAnsi="Arial" w:cs="Arial"/>
                <w:color w:val="000000"/>
              </w:rPr>
              <w:t>-1.882</w:t>
            </w:r>
          </w:p>
        </w:tc>
        <w:tc>
          <w:tcPr>
            <w:tcW w:w="1240" w:type="dxa"/>
            <w:tcBorders>
              <w:top w:val="nil"/>
              <w:left w:val="nil"/>
              <w:bottom w:val="single" w:sz="4" w:space="0" w:color="auto"/>
              <w:right w:val="single" w:sz="4" w:space="0" w:color="auto"/>
            </w:tcBorders>
            <w:shd w:val="clear" w:color="auto" w:fill="auto"/>
            <w:noWrap/>
            <w:vAlign w:val="bottom"/>
            <w:hideMark/>
          </w:tcPr>
          <w:p w14:paraId="1168ACF8" w14:textId="77777777" w:rsidR="00E04ABD" w:rsidRPr="00721B07" w:rsidRDefault="00E04ABD" w:rsidP="00B0051B">
            <w:pPr>
              <w:jc w:val="right"/>
              <w:rPr>
                <w:rFonts w:ascii="Arial" w:hAnsi="Arial" w:cs="Arial"/>
                <w:color w:val="000000"/>
              </w:rPr>
            </w:pPr>
            <w:r w:rsidRPr="00721B07">
              <w:rPr>
                <w:rFonts w:ascii="Arial" w:hAnsi="Arial" w:cs="Arial"/>
                <w:color w:val="000000"/>
              </w:rPr>
              <w:t>0.328</w:t>
            </w:r>
          </w:p>
        </w:tc>
        <w:tc>
          <w:tcPr>
            <w:tcW w:w="1240" w:type="dxa"/>
            <w:tcBorders>
              <w:top w:val="nil"/>
              <w:left w:val="nil"/>
              <w:bottom w:val="single" w:sz="4" w:space="0" w:color="auto"/>
              <w:right w:val="single" w:sz="4" w:space="0" w:color="auto"/>
            </w:tcBorders>
            <w:shd w:val="clear" w:color="auto" w:fill="auto"/>
            <w:noWrap/>
            <w:vAlign w:val="bottom"/>
            <w:hideMark/>
          </w:tcPr>
          <w:p w14:paraId="77C067A7"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7BB334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79F6E1B" w14:textId="3E36B776" w:rsidR="00E04ABD" w:rsidRPr="00721B07" w:rsidRDefault="00E7716C" w:rsidP="00B0051B">
            <w:pPr>
              <w:rPr>
                <w:rFonts w:ascii="Arial" w:hAnsi="Arial" w:cs="Arial"/>
                <w:color w:val="000000"/>
              </w:rPr>
            </w:pPr>
            <w:r>
              <w:rPr>
                <w:rFonts w:ascii="Arial" w:hAnsi="Arial" w:cs="Arial"/>
                <w:color w:val="000000"/>
              </w:rPr>
              <w:t>Self-</w:t>
            </w:r>
            <w:r w:rsidR="00E04ABD" w:rsidRPr="00721B07">
              <w:rPr>
                <w:rFonts w:ascii="Arial" w:hAnsi="Arial" w:cs="Arial"/>
                <w:color w:val="000000"/>
              </w:rPr>
              <w:t>care score at admission - continuous form</w:t>
            </w:r>
          </w:p>
        </w:tc>
        <w:tc>
          <w:tcPr>
            <w:tcW w:w="1457" w:type="dxa"/>
            <w:tcBorders>
              <w:top w:val="nil"/>
              <w:left w:val="nil"/>
              <w:bottom w:val="single" w:sz="4" w:space="0" w:color="auto"/>
              <w:right w:val="single" w:sz="4" w:space="0" w:color="auto"/>
            </w:tcBorders>
            <w:shd w:val="clear" w:color="auto" w:fill="auto"/>
            <w:noWrap/>
            <w:vAlign w:val="bottom"/>
            <w:hideMark/>
          </w:tcPr>
          <w:p w14:paraId="0A4FB151" w14:textId="77777777" w:rsidR="00E04ABD" w:rsidRPr="00721B07" w:rsidRDefault="00E04ABD" w:rsidP="00B0051B">
            <w:pPr>
              <w:jc w:val="right"/>
              <w:rPr>
                <w:rFonts w:ascii="Arial" w:hAnsi="Arial" w:cs="Arial"/>
                <w:color w:val="000000"/>
              </w:rPr>
            </w:pPr>
            <w:r w:rsidRPr="00721B07">
              <w:rPr>
                <w:rFonts w:ascii="Arial" w:hAnsi="Arial" w:cs="Arial"/>
                <w:color w:val="000000"/>
              </w:rPr>
              <w:t>0.333</w:t>
            </w:r>
          </w:p>
        </w:tc>
        <w:tc>
          <w:tcPr>
            <w:tcW w:w="1240" w:type="dxa"/>
            <w:tcBorders>
              <w:top w:val="nil"/>
              <w:left w:val="nil"/>
              <w:bottom w:val="single" w:sz="4" w:space="0" w:color="auto"/>
              <w:right w:val="single" w:sz="4" w:space="0" w:color="auto"/>
            </w:tcBorders>
            <w:shd w:val="clear" w:color="auto" w:fill="auto"/>
            <w:noWrap/>
            <w:vAlign w:val="bottom"/>
            <w:hideMark/>
          </w:tcPr>
          <w:p w14:paraId="2E522A0C" w14:textId="77777777" w:rsidR="00E04ABD" w:rsidRPr="00721B07" w:rsidRDefault="00E04ABD" w:rsidP="00B0051B">
            <w:pPr>
              <w:jc w:val="right"/>
              <w:rPr>
                <w:rFonts w:ascii="Arial" w:hAnsi="Arial" w:cs="Arial"/>
                <w:color w:val="000000"/>
              </w:rPr>
            </w:pPr>
            <w:r w:rsidRPr="00721B07">
              <w:rPr>
                <w:rFonts w:ascii="Arial" w:hAnsi="Arial" w:cs="Arial"/>
                <w:color w:val="000000"/>
              </w:rPr>
              <w:t>0.112</w:t>
            </w:r>
          </w:p>
        </w:tc>
        <w:tc>
          <w:tcPr>
            <w:tcW w:w="1240" w:type="dxa"/>
            <w:tcBorders>
              <w:top w:val="nil"/>
              <w:left w:val="nil"/>
              <w:bottom w:val="single" w:sz="4" w:space="0" w:color="auto"/>
              <w:right w:val="single" w:sz="4" w:space="0" w:color="auto"/>
            </w:tcBorders>
            <w:shd w:val="clear" w:color="auto" w:fill="auto"/>
            <w:noWrap/>
            <w:vAlign w:val="bottom"/>
            <w:hideMark/>
          </w:tcPr>
          <w:p w14:paraId="2123DBFD" w14:textId="77777777" w:rsidR="00E04ABD" w:rsidRPr="00721B07" w:rsidRDefault="00E04ABD" w:rsidP="00B0051B">
            <w:pPr>
              <w:jc w:val="right"/>
              <w:rPr>
                <w:rFonts w:ascii="Arial" w:hAnsi="Arial" w:cs="Arial"/>
                <w:color w:val="000000"/>
              </w:rPr>
            </w:pPr>
            <w:r w:rsidRPr="00721B07">
              <w:rPr>
                <w:rFonts w:ascii="Arial" w:hAnsi="Arial" w:cs="Arial"/>
                <w:color w:val="000000"/>
              </w:rPr>
              <w:t>0.003</w:t>
            </w:r>
          </w:p>
        </w:tc>
      </w:tr>
      <w:tr w:rsidR="00E04ABD" w:rsidRPr="00721B07" w14:paraId="03DF6C7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3AB17BD" w14:textId="4C9A1728" w:rsidR="00E04ABD" w:rsidRPr="00721B07" w:rsidRDefault="00E7716C" w:rsidP="00B0051B">
            <w:pPr>
              <w:rPr>
                <w:rFonts w:ascii="Arial" w:hAnsi="Arial" w:cs="Arial"/>
                <w:color w:val="000000"/>
              </w:rPr>
            </w:pPr>
            <w:r>
              <w:rPr>
                <w:rFonts w:ascii="Arial" w:hAnsi="Arial" w:cs="Arial"/>
                <w:color w:val="000000"/>
              </w:rPr>
              <w:t>Self-</w:t>
            </w:r>
            <w:r w:rsidR="00E04ABD" w:rsidRPr="00721B07">
              <w:rPr>
                <w:rFonts w:ascii="Arial" w:hAnsi="Arial" w:cs="Arial"/>
                <w:color w:val="000000"/>
              </w:rPr>
              <w:t>care score at admission - squared form</w:t>
            </w:r>
          </w:p>
        </w:tc>
        <w:tc>
          <w:tcPr>
            <w:tcW w:w="1457" w:type="dxa"/>
            <w:tcBorders>
              <w:top w:val="nil"/>
              <w:left w:val="nil"/>
              <w:bottom w:val="single" w:sz="4" w:space="0" w:color="auto"/>
              <w:right w:val="single" w:sz="4" w:space="0" w:color="auto"/>
            </w:tcBorders>
            <w:shd w:val="clear" w:color="auto" w:fill="auto"/>
            <w:noWrap/>
            <w:vAlign w:val="bottom"/>
            <w:hideMark/>
          </w:tcPr>
          <w:p w14:paraId="35BA8BB2" w14:textId="77777777" w:rsidR="00E04ABD" w:rsidRPr="00721B07" w:rsidRDefault="00E04ABD" w:rsidP="00B0051B">
            <w:pPr>
              <w:jc w:val="right"/>
              <w:rPr>
                <w:rFonts w:ascii="Arial" w:hAnsi="Arial" w:cs="Arial"/>
                <w:color w:val="000000"/>
              </w:rPr>
            </w:pPr>
            <w:r w:rsidRPr="00721B07">
              <w:rPr>
                <w:rFonts w:ascii="Arial" w:hAnsi="Arial" w:cs="Arial"/>
                <w:color w:val="000000"/>
              </w:rPr>
              <w:t>-0.015</w:t>
            </w:r>
          </w:p>
        </w:tc>
        <w:tc>
          <w:tcPr>
            <w:tcW w:w="1240" w:type="dxa"/>
            <w:tcBorders>
              <w:top w:val="nil"/>
              <w:left w:val="nil"/>
              <w:bottom w:val="single" w:sz="4" w:space="0" w:color="auto"/>
              <w:right w:val="single" w:sz="4" w:space="0" w:color="auto"/>
            </w:tcBorders>
            <w:shd w:val="clear" w:color="auto" w:fill="auto"/>
            <w:noWrap/>
            <w:vAlign w:val="bottom"/>
            <w:hideMark/>
          </w:tcPr>
          <w:p w14:paraId="508E03EE"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c>
          <w:tcPr>
            <w:tcW w:w="1240" w:type="dxa"/>
            <w:tcBorders>
              <w:top w:val="nil"/>
              <w:left w:val="nil"/>
              <w:bottom w:val="single" w:sz="4" w:space="0" w:color="auto"/>
              <w:right w:val="single" w:sz="4" w:space="0" w:color="auto"/>
            </w:tcBorders>
            <w:shd w:val="clear" w:color="auto" w:fill="auto"/>
            <w:noWrap/>
            <w:vAlign w:val="bottom"/>
            <w:hideMark/>
          </w:tcPr>
          <w:p w14:paraId="73399A4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A80409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D508ADD" w14:textId="77777777" w:rsidR="00E04ABD" w:rsidRPr="00721B07" w:rsidRDefault="00E04ABD" w:rsidP="00B0051B">
            <w:pPr>
              <w:rPr>
                <w:rFonts w:ascii="Arial" w:hAnsi="Arial" w:cs="Arial"/>
                <w:color w:val="000000"/>
              </w:rPr>
            </w:pPr>
            <w:r w:rsidRPr="00721B07">
              <w:rPr>
                <w:rFonts w:ascii="Arial" w:hAnsi="Arial" w:cs="Arial"/>
                <w:color w:val="000000"/>
              </w:rPr>
              <w:t>Primary diagnosis: Stroke</w:t>
            </w:r>
          </w:p>
        </w:tc>
        <w:tc>
          <w:tcPr>
            <w:tcW w:w="1457" w:type="dxa"/>
            <w:tcBorders>
              <w:top w:val="nil"/>
              <w:left w:val="nil"/>
              <w:bottom w:val="single" w:sz="4" w:space="0" w:color="auto"/>
              <w:right w:val="single" w:sz="4" w:space="0" w:color="auto"/>
            </w:tcBorders>
            <w:shd w:val="clear" w:color="auto" w:fill="auto"/>
            <w:noWrap/>
            <w:vAlign w:val="bottom"/>
            <w:hideMark/>
          </w:tcPr>
          <w:p w14:paraId="05EC0945" w14:textId="77777777" w:rsidR="00E04ABD" w:rsidRPr="00721B07" w:rsidRDefault="00E04ABD" w:rsidP="00B0051B">
            <w:pPr>
              <w:jc w:val="right"/>
              <w:rPr>
                <w:rFonts w:ascii="Arial" w:hAnsi="Arial" w:cs="Arial"/>
                <w:color w:val="000000"/>
              </w:rPr>
            </w:pPr>
            <w:r w:rsidRPr="00721B07">
              <w:rPr>
                <w:rFonts w:ascii="Arial" w:hAnsi="Arial" w:cs="Arial"/>
                <w:color w:val="000000"/>
              </w:rPr>
              <w:t>-1.630</w:t>
            </w:r>
          </w:p>
        </w:tc>
        <w:tc>
          <w:tcPr>
            <w:tcW w:w="1240" w:type="dxa"/>
            <w:tcBorders>
              <w:top w:val="nil"/>
              <w:left w:val="nil"/>
              <w:bottom w:val="single" w:sz="4" w:space="0" w:color="auto"/>
              <w:right w:val="single" w:sz="4" w:space="0" w:color="auto"/>
            </w:tcBorders>
            <w:shd w:val="clear" w:color="auto" w:fill="auto"/>
            <w:noWrap/>
            <w:vAlign w:val="bottom"/>
            <w:hideMark/>
          </w:tcPr>
          <w:p w14:paraId="4B2C4C65" w14:textId="77777777" w:rsidR="00E04ABD" w:rsidRPr="00721B07" w:rsidRDefault="00E04ABD" w:rsidP="00B0051B">
            <w:pPr>
              <w:jc w:val="right"/>
              <w:rPr>
                <w:rFonts w:ascii="Arial" w:hAnsi="Arial" w:cs="Arial"/>
                <w:color w:val="000000"/>
              </w:rPr>
            </w:pPr>
            <w:r w:rsidRPr="00721B07">
              <w:rPr>
                <w:rFonts w:ascii="Arial" w:hAnsi="Arial" w:cs="Arial"/>
                <w:color w:val="000000"/>
              </w:rPr>
              <w:t>1.236</w:t>
            </w:r>
          </w:p>
        </w:tc>
        <w:tc>
          <w:tcPr>
            <w:tcW w:w="1240" w:type="dxa"/>
            <w:tcBorders>
              <w:top w:val="nil"/>
              <w:left w:val="nil"/>
              <w:bottom w:val="single" w:sz="4" w:space="0" w:color="auto"/>
              <w:right w:val="single" w:sz="4" w:space="0" w:color="auto"/>
            </w:tcBorders>
            <w:shd w:val="clear" w:color="auto" w:fill="auto"/>
            <w:noWrap/>
            <w:vAlign w:val="bottom"/>
            <w:hideMark/>
          </w:tcPr>
          <w:p w14:paraId="7D7B9E99" w14:textId="77777777" w:rsidR="00E04ABD" w:rsidRPr="00721B07" w:rsidRDefault="00E04ABD" w:rsidP="00B0051B">
            <w:pPr>
              <w:jc w:val="right"/>
              <w:rPr>
                <w:rFonts w:ascii="Arial" w:hAnsi="Arial" w:cs="Arial"/>
                <w:color w:val="000000"/>
              </w:rPr>
            </w:pPr>
            <w:r w:rsidRPr="00721B07">
              <w:rPr>
                <w:rFonts w:ascii="Arial" w:hAnsi="Arial" w:cs="Arial"/>
                <w:color w:val="000000"/>
              </w:rPr>
              <w:t>0.187</w:t>
            </w:r>
          </w:p>
        </w:tc>
      </w:tr>
      <w:tr w:rsidR="00E04ABD" w:rsidRPr="00721B07" w14:paraId="4C3CC50F"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53B38DF"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7C01B68C" w14:textId="77777777" w:rsidR="00E04ABD" w:rsidRPr="00721B07" w:rsidRDefault="00E04ABD" w:rsidP="00B0051B">
            <w:pPr>
              <w:jc w:val="right"/>
              <w:rPr>
                <w:rFonts w:ascii="Arial" w:hAnsi="Arial" w:cs="Arial"/>
                <w:color w:val="000000"/>
              </w:rPr>
            </w:pPr>
            <w:r w:rsidRPr="00721B07">
              <w:rPr>
                <w:rFonts w:ascii="Arial" w:hAnsi="Arial" w:cs="Arial"/>
                <w:color w:val="000000"/>
              </w:rPr>
              <w:t>4.767</w:t>
            </w:r>
          </w:p>
        </w:tc>
        <w:tc>
          <w:tcPr>
            <w:tcW w:w="1240" w:type="dxa"/>
            <w:tcBorders>
              <w:top w:val="nil"/>
              <w:left w:val="nil"/>
              <w:bottom w:val="single" w:sz="4" w:space="0" w:color="auto"/>
              <w:right w:val="single" w:sz="4" w:space="0" w:color="auto"/>
            </w:tcBorders>
            <w:shd w:val="clear" w:color="auto" w:fill="auto"/>
            <w:noWrap/>
            <w:vAlign w:val="bottom"/>
            <w:hideMark/>
          </w:tcPr>
          <w:p w14:paraId="68C51CA8" w14:textId="77777777" w:rsidR="00E04ABD" w:rsidRPr="00721B07" w:rsidRDefault="00E04ABD" w:rsidP="00B0051B">
            <w:pPr>
              <w:jc w:val="right"/>
              <w:rPr>
                <w:rFonts w:ascii="Arial" w:hAnsi="Arial" w:cs="Arial"/>
                <w:color w:val="000000"/>
              </w:rPr>
            </w:pPr>
            <w:r w:rsidRPr="00721B07">
              <w:rPr>
                <w:rFonts w:ascii="Arial" w:hAnsi="Arial" w:cs="Arial"/>
                <w:color w:val="000000"/>
              </w:rPr>
              <w:t>9.957</w:t>
            </w:r>
          </w:p>
        </w:tc>
        <w:tc>
          <w:tcPr>
            <w:tcW w:w="1240" w:type="dxa"/>
            <w:tcBorders>
              <w:top w:val="nil"/>
              <w:left w:val="nil"/>
              <w:bottom w:val="single" w:sz="4" w:space="0" w:color="auto"/>
              <w:right w:val="single" w:sz="4" w:space="0" w:color="auto"/>
            </w:tcBorders>
            <w:shd w:val="clear" w:color="auto" w:fill="auto"/>
            <w:noWrap/>
            <w:vAlign w:val="bottom"/>
            <w:hideMark/>
          </w:tcPr>
          <w:p w14:paraId="6CE94659" w14:textId="77777777" w:rsidR="00E04ABD" w:rsidRPr="00721B07" w:rsidRDefault="00E04ABD" w:rsidP="00B0051B">
            <w:pPr>
              <w:jc w:val="right"/>
              <w:rPr>
                <w:rFonts w:ascii="Arial" w:hAnsi="Arial" w:cs="Arial"/>
                <w:color w:val="000000"/>
              </w:rPr>
            </w:pPr>
            <w:r w:rsidRPr="00721B07">
              <w:rPr>
                <w:rFonts w:ascii="Arial" w:hAnsi="Arial" w:cs="Arial"/>
                <w:color w:val="000000"/>
              </w:rPr>
              <w:t>0.632</w:t>
            </w:r>
          </w:p>
        </w:tc>
      </w:tr>
      <w:tr w:rsidR="00E04ABD" w:rsidRPr="00721B07" w14:paraId="781E06E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260ACAF"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61CDA66A" w14:textId="77777777" w:rsidR="00E04ABD" w:rsidRPr="00721B07" w:rsidRDefault="00E04ABD" w:rsidP="00B0051B">
            <w:pPr>
              <w:jc w:val="right"/>
              <w:rPr>
                <w:rFonts w:ascii="Arial" w:hAnsi="Arial" w:cs="Arial"/>
                <w:color w:val="000000"/>
              </w:rPr>
            </w:pPr>
            <w:r w:rsidRPr="00721B07">
              <w:rPr>
                <w:rFonts w:ascii="Arial" w:hAnsi="Arial" w:cs="Arial"/>
                <w:color w:val="000000"/>
              </w:rPr>
              <w:t>-10.371</w:t>
            </w:r>
          </w:p>
        </w:tc>
        <w:tc>
          <w:tcPr>
            <w:tcW w:w="1240" w:type="dxa"/>
            <w:tcBorders>
              <w:top w:val="nil"/>
              <w:left w:val="nil"/>
              <w:bottom w:val="single" w:sz="4" w:space="0" w:color="auto"/>
              <w:right w:val="single" w:sz="4" w:space="0" w:color="auto"/>
            </w:tcBorders>
            <w:shd w:val="clear" w:color="auto" w:fill="auto"/>
            <w:noWrap/>
            <w:vAlign w:val="bottom"/>
            <w:hideMark/>
          </w:tcPr>
          <w:p w14:paraId="29761F7A" w14:textId="77777777" w:rsidR="00E04ABD" w:rsidRPr="00721B07" w:rsidRDefault="00E04ABD" w:rsidP="00B0051B">
            <w:pPr>
              <w:jc w:val="right"/>
              <w:rPr>
                <w:rFonts w:ascii="Arial" w:hAnsi="Arial" w:cs="Arial"/>
                <w:color w:val="000000"/>
              </w:rPr>
            </w:pPr>
            <w:r w:rsidRPr="00721B07">
              <w:rPr>
                <w:rFonts w:ascii="Arial" w:hAnsi="Arial" w:cs="Arial"/>
                <w:color w:val="000000"/>
              </w:rPr>
              <w:t>4.356</w:t>
            </w:r>
          </w:p>
        </w:tc>
        <w:tc>
          <w:tcPr>
            <w:tcW w:w="1240" w:type="dxa"/>
            <w:tcBorders>
              <w:top w:val="nil"/>
              <w:left w:val="nil"/>
              <w:bottom w:val="single" w:sz="4" w:space="0" w:color="auto"/>
              <w:right w:val="single" w:sz="4" w:space="0" w:color="auto"/>
            </w:tcBorders>
            <w:shd w:val="clear" w:color="auto" w:fill="auto"/>
            <w:noWrap/>
            <w:vAlign w:val="bottom"/>
            <w:hideMark/>
          </w:tcPr>
          <w:p w14:paraId="33A26589" w14:textId="77777777" w:rsidR="00E04ABD" w:rsidRPr="00721B07" w:rsidRDefault="00E04ABD" w:rsidP="00B0051B">
            <w:pPr>
              <w:jc w:val="right"/>
              <w:rPr>
                <w:rFonts w:ascii="Arial" w:hAnsi="Arial" w:cs="Arial"/>
                <w:color w:val="000000"/>
              </w:rPr>
            </w:pPr>
            <w:r w:rsidRPr="00721B07">
              <w:rPr>
                <w:rFonts w:ascii="Arial" w:hAnsi="Arial" w:cs="Arial"/>
                <w:color w:val="000000"/>
              </w:rPr>
              <w:t>0.017</w:t>
            </w:r>
          </w:p>
        </w:tc>
      </w:tr>
      <w:tr w:rsidR="00E04ABD" w:rsidRPr="00721B07" w14:paraId="512D9A6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32FC5085"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4A9CE91" w14:textId="77777777" w:rsidR="00E04ABD" w:rsidRPr="00721B07" w:rsidRDefault="00E04ABD" w:rsidP="00B0051B">
            <w:pPr>
              <w:jc w:val="right"/>
              <w:rPr>
                <w:rFonts w:ascii="Arial" w:hAnsi="Arial" w:cs="Arial"/>
                <w:color w:val="000000"/>
              </w:rPr>
            </w:pPr>
            <w:r w:rsidRPr="00721B07">
              <w:rPr>
                <w:rFonts w:ascii="Arial" w:hAnsi="Arial" w:cs="Arial"/>
                <w:color w:val="000000"/>
              </w:rPr>
              <w:t>-4.224</w:t>
            </w:r>
          </w:p>
        </w:tc>
        <w:tc>
          <w:tcPr>
            <w:tcW w:w="1240" w:type="dxa"/>
            <w:tcBorders>
              <w:top w:val="nil"/>
              <w:left w:val="nil"/>
              <w:bottom w:val="single" w:sz="4" w:space="0" w:color="auto"/>
              <w:right w:val="single" w:sz="4" w:space="0" w:color="auto"/>
            </w:tcBorders>
            <w:shd w:val="clear" w:color="auto" w:fill="auto"/>
            <w:noWrap/>
            <w:vAlign w:val="bottom"/>
            <w:hideMark/>
          </w:tcPr>
          <w:p w14:paraId="516658C2" w14:textId="77777777" w:rsidR="00E04ABD" w:rsidRPr="00721B07" w:rsidRDefault="00E04ABD" w:rsidP="00B0051B">
            <w:pPr>
              <w:jc w:val="right"/>
              <w:rPr>
                <w:rFonts w:ascii="Arial" w:hAnsi="Arial" w:cs="Arial"/>
                <w:color w:val="000000"/>
              </w:rPr>
            </w:pPr>
            <w:r w:rsidRPr="00721B07">
              <w:rPr>
                <w:rFonts w:ascii="Arial" w:hAnsi="Arial" w:cs="Arial"/>
                <w:color w:val="000000"/>
              </w:rPr>
              <w:t>3.543</w:t>
            </w:r>
          </w:p>
        </w:tc>
        <w:tc>
          <w:tcPr>
            <w:tcW w:w="1240" w:type="dxa"/>
            <w:tcBorders>
              <w:top w:val="nil"/>
              <w:left w:val="nil"/>
              <w:bottom w:val="single" w:sz="4" w:space="0" w:color="auto"/>
              <w:right w:val="single" w:sz="4" w:space="0" w:color="auto"/>
            </w:tcBorders>
            <w:shd w:val="clear" w:color="auto" w:fill="auto"/>
            <w:noWrap/>
            <w:vAlign w:val="bottom"/>
            <w:hideMark/>
          </w:tcPr>
          <w:p w14:paraId="5E67DA46" w14:textId="77777777" w:rsidR="00E04ABD" w:rsidRPr="00721B07" w:rsidRDefault="00E04ABD" w:rsidP="00B0051B">
            <w:pPr>
              <w:jc w:val="right"/>
              <w:rPr>
                <w:rFonts w:ascii="Arial" w:hAnsi="Arial" w:cs="Arial"/>
                <w:color w:val="000000"/>
              </w:rPr>
            </w:pPr>
            <w:r w:rsidRPr="00721B07">
              <w:rPr>
                <w:rFonts w:ascii="Arial" w:hAnsi="Arial" w:cs="Arial"/>
                <w:color w:val="000000"/>
              </w:rPr>
              <w:t>0.233</w:t>
            </w:r>
          </w:p>
        </w:tc>
      </w:tr>
      <w:tr w:rsidR="00E04ABD" w:rsidRPr="00721B07" w14:paraId="0AB28F7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D8A301F"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964FE04" w14:textId="77777777" w:rsidR="00E04ABD" w:rsidRPr="00721B07" w:rsidRDefault="00E04ABD" w:rsidP="00B0051B">
            <w:pPr>
              <w:jc w:val="right"/>
              <w:rPr>
                <w:rFonts w:ascii="Arial" w:hAnsi="Arial" w:cs="Arial"/>
                <w:color w:val="000000"/>
              </w:rPr>
            </w:pPr>
            <w:r w:rsidRPr="00721B07">
              <w:rPr>
                <w:rFonts w:ascii="Arial" w:hAnsi="Arial" w:cs="Arial"/>
                <w:color w:val="000000"/>
              </w:rPr>
              <w:t>1.012</w:t>
            </w:r>
          </w:p>
        </w:tc>
        <w:tc>
          <w:tcPr>
            <w:tcW w:w="1240" w:type="dxa"/>
            <w:tcBorders>
              <w:top w:val="nil"/>
              <w:left w:val="nil"/>
              <w:bottom w:val="single" w:sz="4" w:space="0" w:color="auto"/>
              <w:right w:val="single" w:sz="4" w:space="0" w:color="auto"/>
            </w:tcBorders>
            <w:shd w:val="clear" w:color="auto" w:fill="auto"/>
            <w:noWrap/>
            <w:vAlign w:val="bottom"/>
            <w:hideMark/>
          </w:tcPr>
          <w:p w14:paraId="52719061" w14:textId="77777777" w:rsidR="00E04ABD" w:rsidRPr="00721B07" w:rsidRDefault="00E04ABD" w:rsidP="00B0051B">
            <w:pPr>
              <w:jc w:val="right"/>
              <w:rPr>
                <w:rFonts w:ascii="Arial" w:hAnsi="Arial" w:cs="Arial"/>
                <w:color w:val="000000"/>
              </w:rPr>
            </w:pPr>
            <w:r w:rsidRPr="00721B07">
              <w:rPr>
                <w:rFonts w:ascii="Arial" w:hAnsi="Arial" w:cs="Arial"/>
                <w:color w:val="000000"/>
              </w:rPr>
              <w:t>2.400</w:t>
            </w:r>
          </w:p>
        </w:tc>
        <w:tc>
          <w:tcPr>
            <w:tcW w:w="1240" w:type="dxa"/>
            <w:tcBorders>
              <w:top w:val="nil"/>
              <w:left w:val="nil"/>
              <w:bottom w:val="single" w:sz="4" w:space="0" w:color="auto"/>
              <w:right w:val="single" w:sz="4" w:space="0" w:color="auto"/>
            </w:tcBorders>
            <w:shd w:val="clear" w:color="auto" w:fill="auto"/>
            <w:noWrap/>
            <w:vAlign w:val="bottom"/>
            <w:hideMark/>
          </w:tcPr>
          <w:p w14:paraId="69BCCA87" w14:textId="77777777" w:rsidR="00E04ABD" w:rsidRPr="00721B07" w:rsidRDefault="00E04ABD" w:rsidP="00B0051B">
            <w:pPr>
              <w:jc w:val="right"/>
              <w:rPr>
                <w:rFonts w:ascii="Arial" w:hAnsi="Arial" w:cs="Arial"/>
                <w:color w:val="000000"/>
              </w:rPr>
            </w:pPr>
            <w:r w:rsidRPr="00721B07">
              <w:rPr>
                <w:rFonts w:ascii="Arial" w:hAnsi="Arial" w:cs="Arial"/>
                <w:color w:val="000000"/>
              </w:rPr>
              <w:t>0.673</w:t>
            </w:r>
          </w:p>
        </w:tc>
      </w:tr>
      <w:tr w:rsidR="00E04ABD" w:rsidRPr="00721B07" w14:paraId="34CA1F6F"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F36635A" w14:textId="77777777" w:rsidR="00E04ABD" w:rsidRPr="00721B07" w:rsidRDefault="00E04ABD" w:rsidP="00B0051B">
            <w:pPr>
              <w:rPr>
                <w:rFonts w:ascii="Arial" w:hAnsi="Arial" w:cs="Arial"/>
                <w:color w:val="000000"/>
              </w:rPr>
            </w:pPr>
            <w:r w:rsidRPr="00721B07">
              <w:rPr>
                <w:rFonts w:ascii="Arial" w:hAnsi="Arial" w:cs="Arial"/>
                <w:color w:val="000000"/>
              </w:rPr>
              <w:t>Primary diagnosis: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48E6A74" w14:textId="77777777" w:rsidR="00E04ABD" w:rsidRPr="00721B07" w:rsidRDefault="00E04ABD" w:rsidP="00B0051B">
            <w:pPr>
              <w:jc w:val="right"/>
              <w:rPr>
                <w:rFonts w:ascii="Arial" w:hAnsi="Arial" w:cs="Arial"/>
                <w:color w:val="000000"/>
              </w:rPr>
            </w:pPr>
            <w:r w:rsidRPr="00721B07">
              <w:rPr>
                <w:rFonts w:ascii="Arial" w:hAnsi="Arial" w:cs="Arial"/>
                <w:color w:val="000000"/>
              </w:rPr>
              <w:t>0.879</w:t>
            </w:r>
          </w:p>
        </w:tc>
        <w:tc>
          <w:tcPr>
            <w:tcW w:w="1240" w:type="dxa"/>
            <w:tcBorders>
              <w:top w:val="nil"/>
              <w:left w:val="nil"/>
              <w:bottom w:val="single" w:sz="4" w:space="0" w:color="auto"/>
              <w:right w:val="single" w:sz="4" w:space="0" w:color="auto"/>
            </w:tcBorders>
            <w:shd w:val="clear" w:color="auto" w:fill="auto"/>
            <w:noWrap/>
            <w:vAlign w:val="bottom"/>
            <w:hideMark/>
          </w:tcPr>
          <w:p w14:paraId="4696E099" w14:textId="77777777" w:rsidR="00E04ABD" w:rsidRPr="00721B07" w:rsidRDefault="00E04ABD" w:rsidP="00B0051B">
            <w:pPr>
              <w:jc w:val="right"/>
              <w:rPr>
                <w:rFonts w:ascii="Arial" w:hAnsi="Arial" w:cs="Arial"/>
                <w:color w:val="000000"/>
              </w:rPr>
            </w:pPr>
            <w:r w:rsidRPr="00721B07">
              <w:rPr>
                <w:rFonts w:ascii="Arial" w:hAnsi="Arial" w:cs="Arial"/>
                <w:color w:val="000000"/>
              </w:rPr>
              <w:t>4.316</w:t>
            </w:r>
          </w:p>
        </w:tc>
        <w:tc>
          <w:tcPr>
            <w:tcW w:w="1240" w:type="dxa"/>
            <w:tcBorders>
              <w:top w:val="nil"/>
              <w:left w:val="nil"/>
              <w:bottom w:val="single" w:sz="4" w:space="0" w:color="auto"/>
              <w:right w:val="single" w:sz="4" w:space="0" w:color="auto"/>
            </w:tcBorders>
            <w:shd w:val="clear" w:color="auto" w:fill="auto"/>
            <w:noWrap/>
            <w:vAlign w:val="bottom"/>
            <w:hideMark/>
          </w:tcPr>
          <w:p w14:paraId="25331C1C" w14:textId="77777777" w:rsidR="00E04ABD" w:rsidRPr="00721B07" w:rsidRDefault="00E04ABD" w:rsidP="00B0051B">
            <w:pPr>
              <w:jc w:val="right"/>
              <w:rPr>
                <w:rFonts w:ascii="Arial" w:hAnsi="Arial" w:cs="Arial"/>
                <w:color w:val="000000"/>
              </w:rPr>
            </w:pPr>
            <w:r w:rsidRPr="00721B07">
              <w:rPr>
                <w:rFonts w:ascii="Arial" w:hAnsi="Arial" w:cs="Arial"/>
                <w:color w:val="000000"/>
              </w:rPr>
              <w:t>0.839</w:t>
            </w:r>
          </w:p>
        </w:tc>
      </w:tr>
      <w:tr w:rsidR="00E04ABD" w:rsidRPr="00721B07" w14:paraId="4FB84A8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924C72E"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2FA1218" w14:textId="77777777" w:rsidR="00E04ABD" w:rsidRPr="00721B07" w:rsidRDefault="00E04ABD" w:rsidP="00B0051B">
            <w:pPr>
              <w:jc w:val="right"/>
              <w:rPr>
                <w:rFonts w:ascii="Arial" w:hAnsi="Arial" w:cs="Arial"/>
                <w:color w:val="000000"/>
              </w:rPr>
            </w:pPr>
            <w:r w:rsidRPr="00721B07">
              <w:rPr>
                <w:rFonts w:ascii="Arial" w:hAnsi="Arial" w:cs="Arial"/>
                <w:color w:val="000000"/>
              </w:rPr>
              <w:t>-0.814</w:t>
            </w:r>
          </w:p>
        </w:tc>
        <w:tc>
          <w:tcPr>
            <w:tcW w:w="1240" w:type="dxa"/>
            <w:tcBorders>
              <w:top w:val="nil"/>
              <w:left w:val="nil"/>
              <w:bottom w:val="single" w:sz="4" w:space="0" w:color="auto"/>
              <w:right w:val="single" w:sz="4" w:space="0" w:color="auto"/>
            </w:tcBorders>
            <w:shd w:val="clear" w:color="auto" w:fill="auto"/>
            <w:noWrap/>
            <w:vAlign w:val="bottom"/>
            <w:hideMark/>
          </w:tcPr>
          <w:p w14:paraId="6E94E926" w14:textId="77777777" w:rsidR="00E04ABD" w:rsidRPr="00721B07" w:rsidRDefault="00E04ABD" w:rsidP="00B0051B">
            <w:pPr>
              <w:jc w:val="right"/>
              <w:rPr>
                <w:rFonts w:ascii="Arial" w:hAnsi="Arial" w:cs="Arial"/>
                <w:color w:val="000000"/>
              </w:rPr>
            </w:pPr>
            <w:r w:rsidRPr="00721B07">
              <w:rPr>
                <w:rFonts w:ascii="Arial" w:hAnsi="Arial" w:cs="Arial"/>
                <w:color w:val="000000"/>
              </w:rPr>
              <w:t>2.756</w:t>
            </w:r>
          </w:p>
        </w:tc>
        <w:tc>
          <w:tcPr>
            <w:tcW w:w="1240" w:type="dxa"/>
            <w:tcBorders>
              <w:top w:val="nil"/>
              <w:left w:val="nil"/>
              <w:bottom w:val="single" w:sz="4" w:space="0" w:color="auto"/>
              <w:right w:val="single" w:sz="4" w:space="0" w:color="auto"/>
            </w:tcBorders>
            <w:shd w:val="clear" w:color="auto" w:fill="auto"/>
            <w:noWrap/>
            <w:vAlign w:val="bottom"/>
            <w:hideMark/>
          </w:tcPr>
          <w:p w14:paraId="61C14D1D" w14:textId="77777777" w:rsidR="00E04ABD" w:rsidRPr="00721B07" w:rsidRDefault="00E04ABD" w:rsidP="00B0051B">
            <w:pPr>
              <w:jc w:val="right"/>
              <w:rPr>
                <w:rFonts w:ascii="Arial" w:hAnsi="Arial" w:cs="Arial"/>
                <w:color w:val="000000"/>
              </w:rPr>
            </w:pPr>
            <w:r w:rsidRPr="00721B07">
              <w:rPr>
                <w:rFonts w:ascii="Arial" w:hAnsi="Arial" w:cs="Arial"/>
                <w:color w:val="000000"/>
              </w:rPr>
              <w:t>0.768</w:t>
            </w:r>
          </w:p>
        </w:tc>
      </w:tr>
      <w:tr w:rsidR="00E04ABD" w:rsidRPr="00721B07" w14:paraId="5A69BFD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C109DBF" w14:textId="77777777" w:rsidR="00E04ABD" w:rsidRPr="00721B07" w:rsidRDefault="00E04ABD" w:rsidP="00B0051B">
            <w:pPr>
              <w:rPr>
                <w:rFonts w:ascii="Arial" w:hAnsi="Arial" w:cs="Arial"/>
                <w:color w:val="000000"/>
              </w:rPr>
            </w:pPr>
            <w:r w:rsidRPr="00721B07">
              <w:rPr>
                <w:rFonts w:ascii="Arial" w:hAnsi="Arial" w:cs="Arial"/>
                <w:color w:val="000000"/>
              </w:rPr>
              <w:t>Primary diagnosis: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54808DC4" w14:textId="77777777" w:rsidR="00E04ABD" w:rsidRPr="00721B07" w:rsidRDefault="00E04ABD" w:rsidP="00B0051B">
            <w:pPr>
              <w:jc w:val="right"/>
              <w:rPr>
                <w:rFonts w:ascii="Arial" w:hAnsi="Arial" w:cs="Arial"/>
                <w:color w:val="000000"/>
              </w:rPr>
            </w:pPr>
            <w:r w:rsidRPr="00721B07">
              <w:rPr>
                <w:rFonts w:ascii="Arial" w:hAnsi="Arial" w:cs="Arial"/>
                <w:color w:val="000000"/>
              </w:rPr>
              <w:t>0.431</w:t>
            </w:r>
          </w:p>
        </w:tc>
        <w:tc>
          <w:tcPr>
            <w:tcW w:w="1240" w:type="dxa"/>
            <w:tcBorders>
              <w:top w:val="nil"/>
              <w:left w:val="nil"/>
              <w:bottom w:val="single" w:sz="4" w:space="0" w:color="auto"/>
              <w:right w:val="single" w:sz="4" w:space="0" w:color="auto"/>
            </w:tcBorders>
            <w:shd w:val="clear" w:color="auto" w:fill="auto"/>
            <w:noWrap/>
            <w:vAlign w:val="bottom"/>
            <w:hideMark/>
          </w:tcPr>
          <w:p w14:paraId="62CB68E6" w14:textId="77777777" w:rsidR="00E04ABD" w:rsidRPr="00721B07" w:rsidRDefault="00E04ABD" w:rsidP="00B0051B">
            <w:pPr>
              <w:jc w:val="right"/>
              <w:rPr>
                <w:rFonts w:ascii="Arial" w:hAnsi="Arial" w:cs="Arial"/>
                <w:color w:val="000000"/>
              </w:rPr>
            </w:pPr>
            <w:r w:rsidRPr="00721B07">
              <w:rPr>
                <w:rFonts w:ascii="Arial" w:hAnsi="Arial" w:cs="Arial"/>
                <w:color w:val="000000"/>
              </w:rPr>
              <w:t>1.290</w:t>
            </w:r>
          </w:p>
        </w:tc>
        <w:tc>
          <w:tcPr>
            <w:tcW w:w="1240" w:type="dxa"/>
            <w:tcBorders>
              <w:top w:val="nil"/>
              <w:left w:val="nil"/>
              <w:bottom w:val="single" w:sz="4" w:space="0" w:color="auto"/>
              <w:right w:val="single" w:sz="4" w:space="0" w:color="auto"/>
            </w:tcBorders>
            <w:shd w:val="clear" w:color="auto" w:fill="auto"/>
            <w:noWrap/>
            <w:vAlign w:val="bottom"/>
            <w:hideMark/>
          </w:tcPr>
          <w:p w14:paraId="30843172" w14:textId="77777777" w:rsidR="00E04ABD" w:rsidRPr="00721B07" w:rsidRDefault="00E04ABD" w:rsidP="00B0051B">
            <w:pPr>
              <w:jc w:val="right"/>
              <w:rPr>
                <w:rFonts w:ascii="Arial" w:hAnsi="Arial" w:cs="Arial"/>
                <w:color w:val="000000"/>
              </w:rPr>
            </w:pPr>
            <w:r w:rsidRPr="00721B07">
              <w:rPr>
                <w:rFonts w:ascii="Arial" w:hAnsi="Arial" w:cs="Arial"/>
                <w:color w:val="000000"/>
              </w:rPr>
              <w:t>0.739</w:t>
            </w:r>
          </w:p>
        </w:tc>
      </w:tr>
      <w:tr w:rsidR="00E04ABD" w:rsidRPr="00721B07" w14:paraId="3FD984B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5F1D514" w14:textId="77777777" w:rsidR="00E04ABD" w:rsidRPr="00721B07" w:rsidRDefault="00E04ABD" w:rsidP="00B0051B">
            <w:pPr>
              <w:rPr>
                <w:rFonts w:ascii="Arial" w:hAnsi="Arial" w:cs="Arial"/>
                <w:color w:val="000000"/>
              </w:rPr>
            </w:pPr>
            <w:r w:rsidRPr="00721B07">
              <w:rPr>
                <w:rFonts w:ascii="Arial" w:hAnsi="Arial" w:cs="Arial"/>
                <w:color w:val="000000"/>
              </w:rPr>
              <w:t>Primary diagnosis: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498833A9" w14:textId="77777777" w:rsidR="00E04ABD" w:rsidRPr="00721B07" w:rsidRDefault="00E04ABD" w:rsidP="00B0051B">
            <w:pPr>
              <w:jc w:val="right"/>
              <w:rPr>
                <w:rFonts w:ascii="Arial" w:hAnsi="Arial" w:cs="Arial"/>
                <w:color w:val="000000"/>
              </w:rPr>
            </w:pPr>
            <w:r w:rsidRPr="00721B07">
              <w:rPr>
                <w:rFonts w:ascii="Arial" w:hAnsi="Arial" w:cs="Arial"/>
                <w:color w:val="000000"/>
              </w:rPr>
              <w:t>0.233</w:t>
            </w:r>
          </w:p>
        </w:tc>
        <w:tc>
          <w:tcPr>
            <w:tcW w:w="1240" w:type="dxa"/>
            <w:tcBorders>
              <w:top w:val="nil"/>
              <w:left w:val="nil"/>
              <w:bottom w:val="single" w:sz="4" w:space="0" w:color="auto"/>
              <w:right w:val="single" w:sz="4" w:space="0" w:color="auto"/>
            </w:tcBorders>
            <w:shd w:val="clear" w:color="auto" w:fill="auto"/>
            <w:noWrap/>
            <w:vAlign w:val="bottom"/>
            <w:hideMark/>
          </w:tcPr>
          <w:p w14:paraId="0932BA9B" w14:textId="77777777" w:rsidR="00E04ABD" w:rsidRPr="00721B07" w:rsidRDefault="00E04ABD" w:rsidP="00B0051B">
            <w:pPr>
              <w:jc w:val="right"/>
              <w:rPr>
                <w:rFonts w:ascii="Arial" w:hAnsi="Arial" w:cs="Arial"/>
                <w:color w:val="000000"/>
              </w:rPr>
            </w:pPr>
            <w:r w:rsidRPr="00721B07">
              <w:rPr>
                <w:rFonts w:ascii="Arial" w:hAnsi="Arial" w:cs="Arial"/>
                <w:color w:val="000000"/>
              </w:rPr>
              <w:t>3.226</w:t>
            </w:r>
          </w:p>
        </w:tc>
        <w:tc>
          <w:tcPr>
            <w:tcW w:w="1240" w:type="dxa"/>
            <w:tcBorders>
              <w:top w:val="nil"/>
              <w:left w:val="nil"/>
              <w:bottom w:val="single" w:sz="4" w:space="0" w:color="auto"/>
              <w:right w:val="single" w:sz="4" w:space="0" w:color="auto"/>
            </w:tcBorders>
            <w:shd w:val="clear" w:color="auto" w:fill="auto"/>
            <w:noWrap/>
            <w:vAlign w:val="bottom"/>
            <w:hideMark/>
          </w:tcPr>
          <w:p w14:paraId="7A2D8879" w14:textId="77777777" w:rsidR="00E04ABD" w:rsidRPr="00721B07" w:rsidRDefault="00E04ABD" w:rsidP="00B0051B">
            <w:pPr>
              <w:jc w:val="right"/>
              <w:rPr>
                <w:rFonts w:ascii="Arial" w:hAnsi="Arial" w:cs="Arial"/>
                <w:color w:val="000000"/>
              </w:rPr>
            </w:pPr>
            <w:r w:rsidRPr="00721B07">
              <w:rPr>
                <w:rFonts w:ascii="Arial" w:hAnsi="Arial" w:cs="Arial"/>
                <w:color w:val="000000"/>
              </w:rPr>
              <w:t>0.942</w:t>
            </w:r>
          </w:p>
        </w:tc>
      </w:tr>
      <w:tr w:rsidR="00E04ABD" w:rsidRPr="00721B07" w14:paraId="742DAA88"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6C44229"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022AD9CB" w14:textId="77777777" w:rsidR="00E04ABD" w:rsidRPr="00721B07" w:rsidRDefault="00E04ABD" w:rsidP="00B0051B">
            <w:pPr>
              <w:jc w:val="right"/>
              <w:rPr>
                <w:rFonts w:ascii="Arial" w:hAnsi="Arial" w:cs="Arial"/>
                <w:color w:val="000000"/>
              </w:rPr>
            </w:pPr>
            <w:r w:rsidRPr="00721B07">
              <w:rPr>
                <w:rFonts w:ascii="Arial" w:hAnsi="Arial" w:cs="Arial"/>
                <w:color w:val="000000"/>
              </w:rPr>
              <w:t>-2.409</w:t>
            </w:r>
          </w:p>
        </w:tc>
        <w:tc>
          <w:tcPr>
            <w:tcW w:w="1240" w:type="dxa"/>
            <w:tcBorders>
              <w:top w:val="nil"/>
              <w:left w:val="nil"/>
              <w:bottom w:val="single" w:sz="4" w:space="0" w:color="auto"/>
              <w:right w:val="single" w:sz="4" w:space="0" w:color="auto"/>
            </w:tcBorders>
            <w:shd w:val="clear" w:color="auto" w:fill="auto"/>
            <w:noWrap/>
            <w:vAlign w:val="bottom"/>
            <w:hideMark/>
          </w:tcPr>
          <w:p w14:paraId="40F1EB61" w14:textId="77777777" w:rsidR="00E04ABD" w:rsidRPr="00721B07" w:rsidRDefault="00E04ABD" w:rsidP="00B0051B">
            <w:pPr>
              <w:jc w:val="right"/>
              <w:rPr>
                <w:rFonts w:ascii="Arial" w:hAnsi="Arial" w:cs="Arial"/>
                <w:color w:val="000000"/>
              </w:rPr>
            </w:pPr>
            <w:r w:rsidRPr="00721B07">
              <w:rPr>
                <w:rFonts w:ascii="Arial" w:hAnsi="Arial" w:cs="Arial"/>
                <w:color w:val="000000"/>
              </w:rPr>
              <w:t>1.714</w:t>
            </w:r>
          </w:p>
        </w:tc>
        <w:tc>
          <w:tcPr>
            <w:tcW w:w="1240" w:type="dxa"/>
            <w:tcBorders>
              <w:top w:val="nil"/>
              <w:left w:val="nil"/>
              <w:bottom w:val="single" w:sz="4" w:space="0" w:color="auto"/>
              <w:right w:val="single" w:sz="4" w:space="0" w:color="auto"/>
            </w:tcBorders>
            <w:shd w:val="clear" w:color="auto" w:fill="auto"/>
            <w:noWrap/>
            <w:vAlign w:val="bottom"/>
            <w:hideMark/>
          </w:tcPr>
          <w:p w14:paraId="1BDFCFA5" w14:textId="77777777" w:rsidR="00E04ABD" w:rsidRPr="00721B07" w:rsidRDefault="00E04ABD" w:rsidP="00B0051B">
            <w:pPr>
              <w:jc w:val="right"/>
              <w:rPr>
                <w:rFonts w:ascii="Arial" w:hAnsi="Arial" w:cs="Arial"/>
                <w:color w:val="000000"/>
              </w:rPr>
            </w:pPr>
            <w:r w:rsidRPr="00721B07">
              <w:rPr>
                <w:rFonts w:ascii="Arial" w:hAnsi="Arial" w:cs="Arial"/>
                <w:color w:val="000000"/>
              </w:rPr>
              <w:t>0.160</w:t>
            </w:r>
          </w:p>
        </w:tc>
      </w:tr>
      <w:tr w:rsidR="00E04ABD" w:rsidRPr="00721B07" w14:paraId="525BA4A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6F40916" w14:textId="77777777" w:rsidR="00E04ABD" w:rsidRPr="00721B07" w:rsidRDefault="00E04ABD" w:rsidP="00B0051B">
            <w:pPr>
              <w:rPr>
                <w:rFonts w:ascii="Arial" w:hAnsi="Arial" w:cs="Arial"/>
                <w:color w:val="000000"/>
              </w:rPr>
            </w:pPr>
            <w:r w:rsidRPr="00721B07">
              <w:rPr>
                <w:rFonts w:ascii="Arial" w:hAnsi="Arial" w:cs="Arial"/>
                <w:color w:val="000000"/>
              </w:rPr>
              <w:t>Primary diagnosis: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B0D5734" w14:textId="77777777" w:rsidR="00E04ABD" w:rsidRPr="00721B07" w:rsidRDefault="00E04ABD" w:rsidP="00B0051B">
            <w:pPr>
              <w:jc w:val="right"/>
              <w:rPr>
                <w:rFonts w:ascii="Arial" w:hAnsi="Arial" w:cs="Arial"/>
                <w:color w:val="000000"/>
              </w:rPr>
            </w:pPr>
            <w:r w:rsidRPr="00721B07">
              <w:rPr>
                <w:rFonts w:ascii="Arial" w:hAnsi="Arial" w:cs="Arial"/>
                <w:color w:val="000000"/>
              </w:rPr>
              <w:t>-0.153</w:t>
            </w:r>
          </w:p>
        </w:tc>
        <w:tc>
          <w:tcPr>
            <w:tcW w:w="1240" w:type="dxa"/>
            <w:tcBorders>
              <w:top w:val="nil"/>
              <w:left w:val="nil"/>
              <w:bottom w:val="single" w:sz="4" w:space="0" w:color="auto"/>
              <w:right w:val="single" w:sz="4" w:space="0" w:color="auto"/>
            </w:tcBorders>
            <w:shd w:val="clear" w:color="auto" w:fill="auto"/>
            <w:noWrap/>
            <w:vAlign w:val="bottom"/>
            <w:hideMark/>
          </w:tcPr>
          <w:p w14:paraId="39D720EF" w14:textId="77777777" w:rsidR="00E04ABD" w:rsidRPr="00721B07" w:rsidRDefault="00E04ABD" w:rsidP="00B0051B">
            <w:pPr>
              <w:jc w:val="right"/>
              <w:rPr>
                <w:rFonts w:ascii="Arial" w:hAnsi="Arial" w:cs="Arial"/>
                <w:color w:val="000000"/>
              </w:rPr>
            </w:pPr>
            <w:r w:rsidRPr="00721B07">
              <w:rPr>
                <w:rFonts w:ascii="Arial" w:hAnsi="Arial" w:cs="Arial"/>
                <w:color w:val="000000"/>
              </w:rPr>
              <w:t>1.218</w:t>
            </w:r>
          </w:p>
        </w:tc>
        <w:tc>
          <w:tcPr>
            <w:tcW w:w="1240" w:type="dxa"/>
            <w:tcBorders>
              <w:top w:val="nil"/>
              <w:left w:val="nil"/>
              <w:bottom w:val="single" w:sz="4" w:space="0" w:color="auto"/>
              <w:right w:val="single" w:sz="4" w:space="0" w:color="auto"/>
            </w:tcBorders>
            <w:shd w:val="clear" w:color="auto" w:fill="auto"/>
            <w:noWrap/>
            <w:vAlign w:val="bottom"/>
            <w:hideMark/>
          </w:tcPr>
          <w:p w14:paraId="0D174FC3" w14:textId="77777777" w:rsidR="00E04ABD" w:rsidRPr="00721B07" w:rsidRDefault="00E04ABD" w:rsidP="00B0051B">
            <w:pPr>
              <w:jc w:val="right"/>
              <w:rPr>
                <w:rFonts w:ascii="Arial" w:hAnsi="Arial" w:cs="Arial"/>
                <w:color w:val="000000"/>
              </w:rPr>
            </w:pPr>
            <w:r w:rsidRPr="00721B07">
              <w:rPr>
                <w:rFonts w:ascii="Arial" w:hAnsi="Arial" w:cs="Arial"/>
                <w:color w:val="000000"/>
              </w:rPr>
              <w:t>0.900</w:t>
            </w:r>
          </w:p>
        </w:tc>
      </w:tr>
      <w:tr w:rsidR="00E04ABD" w:rsidRPr="00721B07" w14:paraId="53987D5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0C7CEEB" w14:textId="77777777" w:rsidR="00E04ABD" w:rsidRPr="00721B07" w:rsidRDefault="00E04ABD" w:rsidP="00B0051B">
            <w:pPr>
              <w:rPr>
                <w:rFonts w:ascii="Arial" w:hAnsi="Arial" w:cs="Arial"/>
                <w:color w:val="000000"/>
              </w:rPr>
            </w:pPr>
            <w:r w:rsidRPr="00721B07">
              <w:rPr>
                <w:rFonts w:ascii="Arial" w:hAnsi="Arial" w:cs="Arial"/>
                <w:color w:val="000000"/>
              </w:rPr>
              <w:t>Primary diagnosis: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C59CEB6" w14:textId="77777777" w:rsidR="00E04ABD" w:rsidRPr="00721B07" w:rsidRDefault="00E04ABD" w:rsidP="00B0051B">
            <w:pPr>
              <w:jc w:val="right"/>
              <w:rPr>
                <w:rFonts w:ascii="Arial" w:hAnsi="Arial" w:cs="Arial"/>
                <w:color w:val="000000"/>
              </w:rPr>
            </w:pPr>
            <w:r w:rsidRPr="00721B07">
              <w:rPr>
                <w:rFonts w:ascii="Arial" w:hAnsi="Arial" w:cs="Arial"/>
                <w:color w:val="000000"/>
              </w:rPr>
              <w:t>0.489</w:t>
            </w:r>
          </w:p>
        </w:tc>
        <w:tc>
          <w:tcPr>
            <w:tcW w:w="1240" w:type="dxa"/>
            <w:tcBorders>
              <w:top w:val="nil"/>
              <w:left w:val="nil"/>
              <w:bottom w:val="single" w:sz="4" w:space="0" w:color="auto"/>
              <w:right w:val="single" w:sz="4" w:space="0" w:color="auto"/>
            </w:tcBorders>
            <w:shd w:val="clear" w:color="auto" w:fill="auto"/>
            <w:noWrap/>
            <w:vAlign w:val="bottom"/>
            <w:hideMark/>
          </w:tcPr>
          <w:p w14:paraId="0C5BDE95" w14:textId="77777777" w:rsidR="00E04ABD" w:rsidRPr="00721B07" w:rsidRDefault="00E04ABD" w:rsidP="00B0051B">
            <w:pPr>
              <w:jc w:val="right"/>
              <w:rPr>
                <w:rFonts w:ascii="Arial" w:hAnsi="Arial" w:cs="Arial"/>
                <w:color w:val="000000"/>
              </w:rPr>
            </w:pPr>
            <w:r w:rsidRPr="00721B07">
              <w:rPr>
                <w:rFonts w:ascii="Arial" w:hAnsi="Arial" w:cs="Arial"/>
                <w:color w:val="000000"/>
              </w:rPr>
              <w:t>1.268</w:t>
            </w:r>
          </w:p>
        </w:tc>
        <w:tc>
          <w:tcPr>
            <w:tcW w:w="1240" w:type="dxa"/>
            <w:tcBorders>
              <w:top w:val="nil"/>
              <w:left w:val="nil"/>
              <w:bottom w:val="single" w:sz="4" w:space="0" w:color="auto"/>
              <w:right w:val="single" w:sz="4" w:space="0" w:color="auto"/>
            </w:tcBorders>
            <w:shd w:val="clear" w:color="auto" w:fill="auto"/>
            <w:noWrap/>
            <w:vAlign w:val="bottom"/>
            <w:hideMark/>
          </w:tcPr>
          <w:p w14:paraId="3B76B207" w14:textId="77777777" w:rsidR="00E04ABD" w:rsidRPr="00721B07" w:rsidRDefault="00E04ABD" w:rsidP="00B0051B">
            <w:pPr>
              <w:jc w:val="right"/>
              <w:rPr>
                <w:rFonts w:ascii="Arial" w:hAnsi="Arial" w:cs="Arial"/>
                <w:color w:val="000000"/>
              </w:rPr>
            </w:pPr>
            <w:r w:rsidRPr="00721B07">
              <w:rPr>
                <w:rFonts w:ascii="Arial" w:hAnsi="Arial" w:cs="Arial"/>
                <w:color w:val="000000"/>
              </w:rPr>
              <w:t>0.700</w:t>
            </w:r>
          </w:p>
        </w:tc>
      </w:tr>
      <w:tr w:rsidR="00E04ABD" w:rsidRPr="00721B07" w14:paraId="7AC7359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C0DB220" w14:textId="77777777" w:rsidR="00E04ABD" w:rsidRPr="00721B07" w:rsidRDefault="00E04ABD" w:rsidP="00B0051B">
            <w:pPr>
              <w:rPr>
                <w:rFonts w:ascii="Arial" w:hAnsi="Arial" w:cs="Arial"/>
                <w:color w:val="000000"/>
              </w:rPr>
            </w:pPr>
            <w:r w:rsidRPr="00721B07">
              <w:rPr>
                <w:rFonts w:ascii="Arial" w:hAnsi="Arial" w:cs="Arial"/>
                <w:color w:val="000000"/>
              </w:rPr>
              <w:t>Interaction: Stroke</w:t>
            </w:r>
          </w:p>
        </w:tc>
        <w:tc>
          <w:tcPr>
            <w:tcW w:w="1457" w:type="dxa"/>
            <w:tcBorders>
              <w:top w:val="nil"/>
              <w:left w:val="nil"/>
              <w:bottom w:val="single" w:sz="4" w:space="0" w:color="auto"/>
              <w:right w:val="single" w:sz="4" w:space="0" w:color="auto"/>
            </w:tcBorders>
            <w:shd w:val="clear" w:color="auto" w:fill="auto"/>
            <w:noWrap/>
            <w:vAlign w:val="bottom"/>
            <w:hideMark/>
          </w:tcPr>
          <w:p w14:paraId="54773397" w14:textId="77777777" w:rsidR="00E04ABD" w:rsidRPr="00721B07" w:rsidRDefault="00E04ABD" w:rsidP="00B0051B">
            <w:pPr>
              <w:jc w:val="right"/>
              <w:rPr>
                <w:rFonts w:ascii="Arial" w:hAnsi="Arial" w:cs="Arial"/>
                <w:color w:val="000000"/>
              </w:rPr>
            </w:pPr>
            <w:r w:rsidRPr="00721B07">
              <w:rPr>
                <w:rFonts w:ascii="Arial" w:hAnsi="Arial" w:cs="Arial"/>
                <w:color w:val="000000"/>
              </w:rPr>
              <w:t>0.062</w:t>
            </w:r>
          </w:p>
        </w:tc>
        <w:tc>
          <w:tcPr>
            <w:tcW w:w="1240" w:type="dxa"/>
            <w:tcBorders>
              <w:top w:val="nil"/>
              <w:left w:val="nil"/>
              <w:bottom w:val="single" w:sz="4" w:space="0" w:color="auto"/>
              <w:right w:val="single" w:sz="4" w:space="0" w:color="auto"/>
            </w:tcBorders>
            <w:shd w:val="clear" w:color="auto" w:fill="auto"/>
            <w:noWrap/>
            <w:vAlign w:val="bottom"/>
            <w:hideMark/>
          </w:tcPr>
          <w:p w14:paraId="7C030A02" w14:textId="77777777" w:rsidR="00E04ABD" w:rsidRPr="00721B07" w:rsidRDefault="00E04ABD" w:rsidP="00B0051B">
            <w:pPr>
              <w:jc w:val="right"/>
              <w:rPr>
                <w:rFonts w:ascii="Arial" w:hAnsi="Arial" w:cs="Arial"/>
                <w:color w:val="000000"/>
              </w:rPr>
            </w:pPr>
            <w:r w:rsidRPr="00721B07">
              <w:rPr>
                <w:rFonts w:ascii="Arial" w:hAnsi="Arial" w:cs="Arial"/>
                <w:color w:val="000000"/>
              </w:rPr>
              <w:t>0.042</w:t>
            </w:r>
          </w:p>
        </w:tc>
        <w:tc>
          <w:tcPr>
            <w:tcW w:w="1240" w:type="dxa"/>
            <w:tcBorders>
              <w:top w:val="nil"/>
              <w:left w:val="nil"/>
              <w:bottom w:val="single" w:sz="4" w:space="0" w:color="auto"/>
              <w:right w:val="single" w:sz="4" w:space="0" w:color="auto"/>
            </w:tcBorders>
            <w:shd w:val="clear" w:color="auto" w:fill="auto"/>
            <w:noWrap/>
            <w:vAlign w:val="bottom"/>
            <w:hideMark/>
          </w:tcPr>
          <w:p w14:paraId="1BA3ECFC" w14:textId="77777777" w:rsidR="00E04ABD" w:rsidRPr="00721B07" w:rsidRDefault="00E04ABD" w:rsidP="00B0051B">
            <w:pPr>
              <w:jc w:val="right"/>
              <w:rPr>
                <w:rFonts w:ascii="Arial" w:hAnsi="Arial" w:cs="Arial"/>
                <w:color w:val="000000"/>
              </w:rPr>
            </w:pPr>
            <w:r w:rsidRPr="00721B07">
              <w:rPr>
                <w:rFonts w:ascii="Arial" w:hAnsi="Arial" w:cs="Arial"/>
                <w:color w:val="000000"/>
              </w:rPr>
              <w:t>0.142</w:t>
            </w:r>
          </w:p>
        </w:tc>
      </w:tr>
      <w:tr w:rsidR="00E04ABD" w:rsidRPr="00721B07" w14:paraId="22E77C6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75EFA74"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21BB1ADF" w14:textId="77777777" w:rsidR="00E04ABD" w:rsidRPr="00721B07" w:rsidRDefault="00E04ABD" w:rsidP="00B0051B">
            <w:pPr>
              <w:jc w:val="right"/>
              <w:rPr>
                <w:rFonts w:ascii="Arial" w:hAnsi="Arial" w:cs="Arial"/>
                <w:color w:val="000000"/>
              </w:rPr>
            </w:pPr>
            <w:r w:rsidRPr="00721B07">
              <w:rPr>
                <w:rFonts w:ascii="Arial" w:hAnsi="Arial" w:cs="Arial"/>
                <w:color w:val="000000"/>
              </w:rPr>
              <w:t>-0.115</w:t>
            </w:r>
          </w:p>
        </w:tc>
        <w:tc>
          <w:tcPr>
            <w:tcW w:w="1240" w:type="dxa"/>
            <w:tcBorders>
              <w:top w:val="nil"/>
              <w:left w:val="nil"/>
              <w:bottom w:val="single" w:sz="4" w:space="0" w:color="auto"/>
              <w:right w:val="single" w:sz="4" w:space="0" w:color="auto"/>
            </w:tcBorders>
            <w:shd w:val="clear" w:color="auto" w:fill="auto"/>
            <w:noWrap/>
            <w:vAlign w:val="bottom"/>
            <w:hideMark/>
          </w:tcPr>
          <w:p w14:paraId="2202919D" w14:textId="77777777" w:rsidR="00E04ABD" w:rsidRPr="00721B07" w:rsidRDefault="00E04ABD" w:rsidP="00B0051B">
            <w:pPr>
              <w:jc w:val="right"/>
              <w:rPr>
                <w:rFonts w:ascii="Arial" w:hAnsi="Arial" w:cs="Arial"/>
                <w:color w:val="000000"/>
              </w:rPr>
            </w:pPr>
            <w:r w:rsidRPr="00721B07">
              <w:rPr>
                <w:rFonts w:ascii="Arial" w:hAnsi="Arial" w:cs="Arial"/>
                <w:color w:val="000000"/>
              </w:rPr>
              <w:t>0.377</w:t>
            </w:r>
          </w:p>
        </w:tc>
        <w:tc>
          <w:tcPr>
            <w:tcW w:w="1240" w:type="dxa"/>
            <w:tcBorders>
              <w:top w:val="nil"/>
              <w:left w:val="nil"/>
              <w:bottom w:val="single" w:sz="4" w:space="0" w:color="auto"/>
              <w:right w:val="single" w:sz="4" w:space="0" w:color="auto"/>
            </w:tcBorders>
            <w:shd w:val="clear" w:color="auto" w:fill="auto"/>
            <w:noWrap/>
            <w:vAlign w:val="bottom"/>
            <w:hideMark/>
          </w:tcPr>
          <w:p w14:paraId="5798FB24" w14:textId="77777777" w:rsidR="00E04ABD" w:rsidRPr="00721B07" w:rsidRDefault="00E04ABD" w:rsidP="00B0051B">
            <w:pPr>
              <w:jc w:val="right"/>
              <w:rPr>
                <w:rFonts w:ascii="Arial" w:hAnsi="Arial" w:cs="Arial"/>
                <w:color w:val="000000"/>
              </w:rPr>
            </w:pPr>
            <w:r w:rsidRPr="00721B07">
              <w:rPr>
                <w:rFonts w:ascii="Arial" w:hAnsi="Arial" w:cs="Arial"/>
                <w:color w:val="000000"/>
              </w:rPr>
              <w:t>0.761</w:t>
            </w:r>
          </w:p>
        </w:tc>
      </w:tr>
      <w:tr w:rsidR="00E04ABD" w:rsidRPr="00721B07" w14:paraId="1827BC8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59B6916"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561B2E48" w14:textId="77777777" w:rsidR="00E04ABD" w:rsidRPr="00721B07" w:rsidRDefault="00E04ABD" w:rsidP="00B0051B">
            <w:pPr>
              <w:jc w:val="right"/>
              <w:rPr>
                <w:rFonts w:ascii="Arial" w:hAnsi="Arial" w:cs="Arial"/>
                <w:color w:val="000000"/>
              </w:rPr>
            </w:pPr>
            <w:r w:rsidRPr="00721B07">
              <w:rPr>
                <w:rFonts w:ascii="Arial" w:hAnsi="Arial" w:cs="Arial"/>
                <w:color w:val="000000"/>
              </w:rPr>
              <w:t>0.373</w:t>
            </w:r>
          </w:p>
        </w:tc>
        <w:tc>
          <w:tcPr>
            <w:tcW w:w="1240" w:type="dxa"/>
            <w:tcBorders>
              <w:top w:val="nil"/>
              <w:left w:val="nil"/>
              <w:bottom w:val="single" w:sz="4" w:space="0" w:color="auto"/>
              <w:right w:val="single" w:sz="4" w:space="0" w:color="auto"/>
            </w:tcBorders>
            <w:shd w:val="clear" w:color="auto" w:fill="auto"/>
            <w:noWrap/>
            <w:vAlign w:val="bottom"/>
            <w:hideMark/>
          </w:tcPr>
          <w:p w14:paraId="6BCB7052" w14:textId="77777777" w:rsidR="00E04ABD" w:rsidRPr="00721B07" w:rsidRDefault="00E04ABD" w:rsidP="00B0051B">
            <w:pPr>
              <w:jc w:val="right"/>
              <w:rPr>
                <w:rFonts w:ascii="Arial" w:hAnsi="Arial" w:cs="Arial"/>
                <w:color w:val="000000"/>
              </w:rPr>
            </w:pPr>
            <w:r w:rsidRPr="00721B07">
              <w:rPr>
                <w:rFonts w:ascii="Arial" w:hAnsi="Arial" w:cs="Arial"/>
                <w:color w:val="000000"/>
              </w:rPr>
              <w:t>0.141</w:t>
            </w:r>
          </w:p>
        </w:tc>
        <w:tc>
          <w:tcPr>
            <w:tcW w:w="1240" w:type="dxa"/>
            <w:tcBorders>
              <w:top w:val="nil"/>
              <w:left w:val="nil"/>
              <w:bottom w:val="single" w:sz="4" w:space="0" w:color="auto"/>
              <w:right w:val="single" w:sz="4" w:space="0" w:color="auto"/>
            </w:tcBorders>
            <w:shd w:val="clear" w:color="auto" w:fill="auto"/>
            <w:noWrap/>
            <w:vAlign w:val="bottom"/>
            <w:hideMark/>
          </w:tcPr>
          <w:p w14:paraId="76A0F6C4" w14:textId="77777777" w:rsidR="00E04ABD" w:rsidRPr="00721B07" w:rsidRDefault="00E04ABD" w:rsidP="00B0051B">
            <w:pPr>
              <w:jc w:val="right"/>
              <w:rPr>
                <w:rFonts w:ascii="Arial" w:hAnsi="Arial" w:cs="Arial"/>
                <w:color w:val="000000"/>
              </w:rPr>
            </w:pPr>
            <w:r w:rsidRPr="00721B07">
              <w:rPr>
                <w:rFonts w:ascii="Arial" w:hAnsi="Arial" w:cs="Arial"/>
                <w:color w:val="000000"/>
              </w:rPr>
              <w:t>0.008</w:t>
            </w:r>
          </w:p>
        </w:tc>
      </w:tr>
      <w:tr w:rsidR="00E04ABD" w:rsidRPr="00721B07" w14:paraId="2FC462C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7779214"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512BF4B6" w14:textId="77777777" w:rsidR="00E04ABD" w:rsidRPr="00721B07" w:rsidRDefault="00E04ABD" w:rsidP="00B0051B">
            <w:pPr>
              <w:jc w:val="right"/>
              <w:rPr>
                <w:rFonts w:ascii="Arial" w:hAnsi="Arial" w:cs="Arial"/>
                <w:color w:val="000000"/>
              </w:rPr>
            </w:pPr>
            <w:r w:rsidRPr="00721B07">
              <w:rPr>
                <w:rFonts w:ascii="Arial" w:hAnsi="Arial" w:cs="Arial"/>
                <w:color w:val="000000"/>
              </w:rPr>
              <w:t>0.174</w:t>
            </w:r>
          </w:p>
        </w:tc>
        <w:tc>
          <w:tcPr>
            <w:tcW w:w="1240" w:type="dxa"/>
            <w:tcBorders>
              <w:top w:val="nil"/>
              <w:left w:val="nil"/>
              <w:bottom w:val="single" w:sz="4" w:space="0" w:color="auto"/>
              <w:right w:val="single" w:sz="4" w:space="0" w:color="auto"/>
            </w:tcBorders>
            <w:shd w:val="clear" w:color="auto" w:fill="auto"/>
            <w:noWrap/>
            <w:vAlign w:val="bottom"/>
            <w:hideMark/>
          </w:tcPr>
          <w:p w14:paraId="1E57D617" w14:textId="77777777" w:rsidR="00E04ABD" w:rsidRPr="00721B07" w:rsidRDefault="00E04ABD" w:rsidP="00B0051B">
            <w:pPr>
              <w:jc w:val="right"/>
              <w:rPr>
                <w:rFonts w:ascii="Arial" w:hAnsi="Arial" w:cs="Arial"/>
                <w:color w:val="000000"/>
              </w:rPr>
            </w:pPr>
            <w:r w:rsidRPr="00721B07">
              <w:rPr>
                <w:rFonts w:ascii="Arial" w:hAnsi="Arial" w:cs="Arial"/>
                <w:color w:val="000000"/>
              </w:rPr>
              <w:t>0.128</w:t>
            </w:r>
          </w:p>
        </w:tc>
        <w:tc>
          <w:tcPr>
            <w:tcW w:w="1240" w:type="dxa"/>
            <w:tcBorders>
              <w:top w:val="nil"/>
              <w:left w:val="nil"/>
              <w:bottom w:val="single" w:sz="4" w:space="0" w:color="auto"/>
              <w:right w:val="single" w:sz="4" w:space="0" w:color="auto"/>
            </w:tcBorders>
            <w:shd w:val="clear" w:color="auto" w:fill="auto"/>
            <w:noWrap/>
            <w:vAlign w:val="bottom"/>
            <w:hideMark/>
          </w:tcPr>
          <w:p w14:paraId="2ABD0061" w14:textId="77777777" w:rsidR="00E04ABD" w:rsidRPr="00721B07" w:rsidRDefault="00E04ABD" w:rsidP="00B0051B">
            <w:pPr>
              <w:jc w:val="right"/>
              <w:rPr>
                <w:rFonts w:ascii="Arial" w:hAnsi="Arial" w:cs="Arial"/>
                <w:color w:val="000000"/>
              </w:rPr>
            </w:pPr>
            <w:r w:rsidRPr="00721B07">
              <w:rPr>
                <w:rFonts w:ascii="Arial" w:hAnsi="Arial" w:cs="Arial"/>
                <w:color w:val="000000"/>
              </w:rPr>
              <w:t>0.173</w:t>
            </w:r>
          </w:p>
        </w:tc>
      </w:tr>
      <w:tr w:rsidR="00E04ABD" w:rsidRPr="00721B07" w14:paraId="18ED52E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C0E4875"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6AFE7403" w14:textId="77777777" w:rsidR="00E04ABD" w:rsidRPr="00721B07" w:rsidRDefault="00E04ABD" w:rsidP="00B0051B">
            <w:pPr>
              <w:jc w:val="right"/>
              <w:rPr>
                <w:rFonts w:ascii="Arial" w:hAnsi="Arial" w:cs="Arial"/>
                <w:color w:val="000000"/>
              </w:rPr>
            </w:pPr>
            <w:r w:rsidRPr="00721B07">
              <w:rPr>
                <w:rFonts w:ascii="Arial" w:hAnsi="Arial" w:cs="Arial"/>
                <w:color w:val="000000"/>
              </w:rPr>
              <w:t>0.049</w:t>
            </w:r>
          </w:p>
        </w:tc>
        <w:tc>
          <w:tcPr>
            <w:tcW w:w="1240" w:type="dxa"/>
            <w:tcBorders>
              <w:top w:val="nil"/>
              <w:left w:val="nil"/>
              <w:bottom w:val="single" w:sz="4" w:space="0" w:color="auto"/>
              <w:right w:val="single" w:sz="4" w:space="0" w:color="auto"/>
            </w:tcBorders>
            <w:shd w:val="clear" w:color="auto" w:fill="auto"/>
            <w:noWrap/>
            <w:vAlign w:val="bottom"/>
            <w:hideMark/>
          </w:tcPr>
          <w:p w14:paraId="3EB58A2E" w14:textId="77777777" w:rsidR="00E04ABD" w:rsidRPr="00721B07" w:rsidRDefault="00E04ABD" w:rsidP="00B0051B">
            <w:pPr>
              <w:jc w:val="right"/>
              <w:rPr>
                <w:rFonts w:ascii="Arial" w:hAnsi="Arial" w:cs="Arial"/>
                <w:color w:val="000000"/>
              </w:rPr>
            </w:pPr>
            <w:r w:rsidRPr="00721B07">
              <w:rPr>
                <w:rFonts w:ascii="Arial" w:hAnsi="Arial" w:cs="Arial"/>
                <w:color w:val="000000"/>
              </w:rPr>
              <w:t>0.127</w:t>
            </w:r>
          </w:p>
        </w:tc>
        <w:tc>
          <w:tcPr>
            <w:tcW w:w="1240" w:type="dxa"/>
            <w:tcBorders>
              <w:top w:val="nil"/>
              <w:left w:val="nil"/>
              <w:bottom w:val="single" w:sz="4" w:space="0" w:color="auto"/>
              <w:right w:val="single" w:sz="4" w:space="0" w:color="auto"/>
            </w:tcBorders>
            <w:shd w:val="clear" w:color="auto" w:fill="auto"/>
            <w:noWrap/>
            <w:vAlign w:val="bottom"/>
            <w:hideMark/>
          </w:tcPr>
          <w:p w14:paraId="5582E08D" w14:textId="77777777" w:rsidR="00E04ABD" w:rsidRPr="00721B07" w:rsidRDefault="00E04ABD" w:rsidP="00B0051B">
            <w:pPr>
              <w:jc w:val="right"/>
              <w:rPr>
                <w:rFonts w:ascii="Arial" w:hAnsi="Arial" w:cs="Arial"/>
                <w:color w:val="000000"/>
              </w:rPr>
            </w:pPr>
            <w:r w:rsidRPr="00721B07">
              <w:rPr>
                <w:rFonts w:ascii="Arial" w:hAnsi="Arial" w:cs="Arial"/>
                <w:color w:val="000000"/>
              </w:rPr>
              <w:t>0.700</w:t>
            </w:r>
          </w:p>
        </w:tc>
      </w:tr>
      <w:tr w:rsidR="00E04ABD" w:rsidRPr="00721B07" w14:paraId="615165E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391F494" w14:textId="77777777" w:rsidR="00E04ABD" w:rsidRPr="00721B07" w:rsidRDefault="00E04ABD" w:rsidP="00B0051B">
            <w:pPr>
              <w:rPr>
                <w:rFonts w:ascii="Arial" w:hAnsi="Arial" w:cs="Arial"/>
                <w:color w:val="000000"/>
              </w:rPr>
            </w:pPr>
            <w:r w:rsidRPr="00721B07">
              <w:rPr>
                <w:rFonts w:ascii="Arial" w:hAnsi="Arial" w:cs="Arial"/>
                <w:color w:val="000000"/>
              </w:rPr>
              <w:t>Interaction: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7160C65A" w14:textId="77777777" w:rsidR="00E04ABD" w:rsidRPr="00721B07" w:rsidRDefault="00E04ABD" w:rsidP="00B0051B">
            <w:pPr>
              <w:jc w:val="right"/>
              <w:rPr>
                <w:rFonts w:ascii="Arial" w:hAnsi="Arial" w:cs="Arial"/>
                <w:color w:val="000000"/>
              </w:rPr>
            </w:pPr>
            <w:r w:rsidRPr="00721B07">
              <w:rPr>
                <w:rFonts w:ascii="Arial" w:hAnsi="Arial" w:cs="Arial"/>
                <w:color w:val="000000"/>
              </w:rPr>
              <w:t>-0.079</w:t>
            </w:r>
          </w:p>
        </w:tc>
        <w:tc>
          <w:tcPr>
            <w:tcW w:w="1240" w:type="dxa"/>
            <w:tcBorders>
              <w:top w:val="nil"/>
              <w:left w:val="nil"/>
              <w:bottom w:val="single" w:sz="4" w:space="0" w:color="auto"/>
              <w:right w:val="single" w:sz="4" w:space="0" w:color="auto"/>
            </w:tcBorders>
            <w:shd w:val="clear" w:color="auto" w:fill="auto"/>
            <w:noWrap/>
            <w:vAlign w:val="bottom"/>
            <w:hideMark/>
          </w:tcPr>
          <w:p w14:paraId="28A65CD0" w14:textId="77777777" w:rsidR="00E04ABD" w:rsidRPr="00721B07" w:rsidRDefault="00E04ABD" w:rsidP="00B0051B">
            <w:pPr>
              <w:jc w:val="right"/>
              <w:rPr>
                <w:rFonts w:ascii="Arial" w:hAnsi="Arial" w:cs="Arial"/>
                <w:color w:val="000000"/>
              </w:rPr>
            </w:pPr>
            <w:r w:rsidRPr="00721B07">
              <w:rPr>
                <w:rFonts w:ascii="Arial" w:hAnsi="Arial" w:cs="Arial"/>
                <w:color w:val="000000"/>
              </w:rPr>
              <w:t>0.160</w:t>
            </w:r>
          </w:p>
        </w:tc>
        <w:tc>
          <w:tcPr>
            <w:tcW w:w="1240" w:type="dxa"/>
            <w:tcBorders>
              <w:top w:val="nil"/>
              <w:left w:val="nil"/>
              <w:bottom w:val="single" w:sz="4" w:space="0" w:color="auto"/>
              <w:right w:val="single" w:sz="4" w:space="0" w:color="auto"/>
            </w:tcBorders>
            <w:shd w:val="clear" w:color="auto" w:fill="auto"/>
            <w:noWrap/>
            <w:vAlign w:val="bottom"/>
            <w:hideMark/>
          </w:tcPr>
          <w:p w14:paraId="1143639E" w14:textId="77777777" w:rsidR="00E04ABD" w:rsidRPr="00721B07" w:rsidRDefault="00E04ABD" w:rsidP="00B0051B">
            <w:pPr>
              <w:jc w:val="right"/>
              <w:rPr>
                <w:rFonts w:ascii="Arial" w:hAnsi="Arial" w:cs="Arial"/>
                <w:color w:val="000000"/>
              </w:rPr>
            </w:pPr>
            <w:r w:rsidRPr="00721B07">
              <w:rPr>
                <w:rFonts w:ascii="Arial" w:hAnsi="Arial" w:cs="Arial"/>
                <w:color w:val="000000"/>
              </w:rPr>
              <w:t>0.621</w:t>
            </w:r>
          </w:p>
        </w:tc>
      </w:tr>
      <w:tr w:rsidR="00E04ABD" w:rsidRPr="00721B07" w14:paraId="2F25AEE3"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ABE85DE" w14:textId="77777777" w:rsidR="00E04ABD" w:rsidRPr="00721B07" w:rsidRDefault="00E04ABD" w:rsidP="00B0051B">
            <w:pPr>
              <w:rPr>
                <w:rFonts w:ascii="Arial" w:hAnsi="Arial" w:cs="Arial"/>
                <w:color w:val="000000"/>
              </w:rPr>
            </w:pPr>
            <w:r w:rsidRPr="00721B07">
              <w:rPr>
                <w:rFonts w:ascii="Arial" w:hAnsi="Arial" w:cs="Arial"/>
                <w:color w:val="000000"/>
              </w:rPr>
              <w:t>Interaction: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4A22454D" w14:textId="77777777" w:rsidR="00E04ABD" w:rsidRPr="00721B07" w:rsidRDefault="00E04ABD" w:rsidP="00B0051B">
            <w:pPr>
              <w:jc w:val="right"/>
              <w:rPr>
                <w:rFonts w:ascii="Arial" w:hAnsi="Arial" w:cs="Arial"/>
                <w:color w:val="000000"/>
              </w:rPr>
            </w:pPr>
            <w:r w:rsidRPr="00721B07">
              <w:rPr>
                <w:rFonts w:ascii="Arial" w:hAnsi="Arial" w:cs="Arial"/>
                <w:color w:val="000000"/>
              </w:rPr>
              <w:t>0.035</w:t>
            </w:r>
          </w:p>
        </w:tc>
        <w:tc>
          <w:tcPr>
            <w:tcW w:w="1240" w:type="dxa"/>
            <w:tcBorders>
              <w:top w:val="nil"/>
              <w:left w:val="nil"/>
              <w:bottom w:val="single" w:sz="4" w:space="0" w:color="auto"/>
              <w:right w:val="single" w:sz="4" w:space="0" w:color="auto"/>
            </w:tcBorders>
            <w:shd w:val="clear" w:color="auto" w:fill="auto"/>
            <w:noWrap/>
            <w:vAlign w:val="bottom"/>
            <w:hideMark/>
          </w:tcPr>
          <w:p w14:paraId="1FC988E5" w14:textId="77777777" w:rsidR="00E04ABD" w:rsidRPr="00721B07" w:rsidRDefault="00E04ABD" w:rsidP="00B0051B">
            <w:pPr>
              <w:jc w:val="right"/>
              <w:rPr>
                <w:rFonts w:ascii="Arial" w:hAnsi="Arial" w:cs="Arial"/>
                <w:color w:val="000000"/>
              </w:rPr>
            </w:pPr>
            <w:r w:rsidRPr="00721B07">
              <w:rPr>
                <w:rFonts w:ascii="Arial" w:hAnsi="Arial" w:cs="Arial"/>
                <w:color w:val="000000"/>
              </w:rPr>
              <w:t>0.103</w:t>
            </w:r>
          </w:p>
        </w:tc>
        <w:tc>
          <w:tcPr>
            <w:tcW w:w="1240" w:type="dxa"/>
            <w:tcBorders>
              <w:top w:val="nil"/>
              <w:left w:val="nil"/>
              <w:bottom w:val="single" w:sz="4" w:space="0" w:color="auto"/>
              <w:right w:val="single" w:sz="4" w:space="0" w:color="auto"/>
            </w:tcBorders>
            <w:shd w:val="clear" w:color="auto" w:fill="auto"/>
            <w:noWrap/>
            <w:vAlign w:val="bottom"/>
            <w:hideMark/>
          </w:tcPr>
          <w:p w14:paraId="11957E94" w14:textId="77777777" w:rsidR="00E04ABD" w:rsidRPr="00721B07" w:rsidRDefault="00E04ABD" w:rsidP="00B0051B">
            <w:pPr>
              <w:jc w:val="right"/>
              <w:rPr>
                <w:rFonts w:ascii="Arial" w:hAnsi="Arial" w:cs="Arial"/>
                <w:color w:val="000000"/>
              </w:rPr>
            </w:pPr>
            <w:r w:rsidRPr="00721B07">
              <w:rPr>
                <w:rFonts w:ascii="Arial" w:hAnsi="Arial" w:cs="Arial"/>
                <w:color w:val="000000"/>
              </w:rPr>
              <w:t>0.735</w:t>
            </w:r>
          </w:p>
        </w:tc>
      </w:tr>
      <w:tr w:rsidR="00E04ABD" w:rsidRPr="00721B07" w14:paraId="6CEBF9DC"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3B2FA01" w14:textId="77777777" w:rsidR="00E04ABD" w:rsidRPr="00721B07" w:rsidRDefault="00E04ABD" w:rsidP="00B0051B">
            <w:pPr>
              <w:rPr>
                <w:rFonts w:ascii="Arial" w:hAnsi="Arial" w:cs="Arial"/>
                <w:color w:val="000000"/>
              </w:rPr>
            </w:pPr>
            <w:r w:rsidRPr="00721B07">
              <w:rPr>
                <w:rFonts w:ascii="Arial" w:hAnsi="Arial" w:cs="Arial"/>
                <w:color w:val="000000"/>
              </w:rPr>
              <w:t>Interaction: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142DD367" w14:textId="77777777" w:rsidR="00E04ABD" w:rsidRPr="00721B07" w:rsidRDefault="00E04ABD" w:rsidP="00B0051B">
            <w:pPr>
              <w:jc w:val="right"/>
              <w:rPr>
                <w:rFonts w:ascii="Arial" w:hAnsi="Arial" w:cs="Arial"/>
                <w:color w:val="000000"/>
              </w:rPr>
            </w:pPr>
            <w:r w:rsidRPr="00721B07">
              <w:rPr>
                <w:rFonts w:ascii="Arial" w:hAnsi="Arial" w:cs="Arial"/>
                <w:color w:val="000000"/>
              </w:rPr>
              <w:t>-0.040</w:t>
            </w:r>
          </w:p>
        </w:tc>
        <w:tc>
          <w:tcPr>
            <w:tcW w:w="1240" w:type="dxa"/>
            <w:tcBorders>
              <w:top w:val="nil"/>
              <w:left w:val="nil"/>
              <w:bottom w:val="single" w:sz="4" w:space="0" w:color="auto"/>
              <w:right w:val="single" w:sz="4" w:space="0" w:color="auto"/>
            </w:tcBorders>
            <w:shd w:val="clear" w:color="auto" w:fill="auto"/>
            <w:noWrap/>
            <w:vAlign w:val="bottom"/>
            <w:hideMark/>
          </w:tcPr>
          <w:p w14:paraId="3D13E47E" w14:textId="77777777" w:rsidR="00E04ABD" w:rsidRPr="00721B07" w:rsidRDefault="00E04ABD" w:rsidP="00B0051B">
            <w:pPr>
              <w:jc w:val="right"/>
              <w:rPr>
                <w:rFonts w:ascii="Arial" w:hAnsi="Arial" w:cs="Arial"/>
                <w:color w:val="000000"/>
              </w:rPr>
            </w:pPr>
            <w:r w:rsidRPr="00721B07">
              <w:rPr>
                <w:rFonts w:ascii="Arial" w:hAnsi="Arial" w:cs="Arial"/>
                <w:color w:val="000000"/>
              </w:rPr>
              <w:t>0.048</w:t>
            </w:r>
          </w:p>
        </w:tc>
        <w:tc>
          <w:tcPr>
            <w:tcW w:w="1240" w:type="dxa"/>
            <w:tcBorders>
              <w:top w:val="nil"/>
              <w:left w:val="nil"/>
              <w:bottom w:val="single" w:sz="4" w:space="0" w:color="auto"/>
              <w:right w:val="single" w:sz="4" w:space="0" w:color="auto"/>
            </w:tcBorders>
            <w:shd w:val="clear" w:color="auto" w:fill="auto"/>
            <w:noWrap/>
            <w:vAlign w:val="bottom"/>
            <w:hideMark/>
          </w:tcPr>
          <w:p w14:paraId="3F3199F4" w14:textId="77777777" w:rsidR="00E04ABD" w:rsidRPr="00721B07" w:rsidRDefault="00E04ABD" w:rsidP="00B0051B">
            <w:pPr>
              <w:jc w:val="right"/>
              <w:rPr>
                <w:rFonts w:ascii="Arial" w:hAnsi="Arial" w:cs="Arial"/>
                <w:color w:val="000000"/>
              </w:rPr>
            </w:pPr>
            <w:r w:rsidRPr="00721B07">
              <w:rPr>
                <w:rFonts w:ascii="Arial" w:hAnsi="Arial" w:cs="Arial"/>
                <w:color w:val="000000"/>
              </w:rPr>
              <w:t>0.404</w:t>
            </w:r>
          </w:p>
        </w:tc>
      </w:tr>
      <w:tr w:rsidR="00E04ABD" w:rsidRPr="00721B07" w14:paraId="31668419"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33DD4D0E" w14:textId="77777777" w:rsidR="00E04ABD" w:rsidRPr="00721B07" w:rsidRDefault="00E04ABD" w:rsidP="00B0051B">
            <w:pPr>
              <w:rPr>
                <w:rFonts w:ascii="Arial" w:hAnsi="Arial" w:cs="Arial"/>
                <w:color w:val="000000"/>
              </w:rPr>
            </w:pPr>
            <w:r w:rsidRPr="00721B07">
              <w:rPr>
                <w:rFonts w:ascii="Arial" w:hAnsi="Arial" w:cs="Arial"/>
                <w:color w:val="000000"/>
              </w:rPr>
              <w:t>Interaction: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4BE1EDB9" w14:textId="77777777" w:rsidR="00E04ABD" w:rsidRPr="00721B07" w:rsidRDefault="00E04ABD" w:rsidP="00B0051B">
            <w:pPr>
              <w:jc w:val="right"/>
              <w:rPr>
                <w:rFonts w:ascii="Arial" w:hAnsi="Arial" w:cs="Arial"/>
                <w:color w:val="000000"/>
              </w:rPr>
            </w:pPr>
            <w:r w:rsidRPr="00721B07">
              <w:rPr>
                <w:rFonts w:ascii="Arial" w:hAnsi="Arial" w:cs="Arial"/>
                <w:color w:val="000000"/>
              </w:rPr>
              <w:t>-0.016</w:t>
            </w:r>
          </w:p>
        </w:tc>
        <w:tc>
          <w:tcPr>
            <w:tcW w:w="1240" w:type="dxa"/>
            <w:tcBorders>
              <w:top w:val="nil"/>
              <w:left w:val="nil"/>
              <w:bottom w:val="single" w:sz="4" w:space="0" w:color="auto"/>
              <w:right w:val="single" w:sz="4" w:space="0" w:color="auto"/>
            </w:tcBorders>
            <w:shd w:val="clear" w:color="auto" w:fill="auto"/>
            <w:noWrap/>
            <w:vAlign w:val="bottom"/>
            <w:hideMark/>
          </w:tcPr>
          <w:p w14:paraId="3569B1AB" w14:textId="77777777" w:rsidR="00E04ABD" w:rsidRPr="00721B07" w:rsidRDefault="00E04ABD" w:rsidP="00B0051B">
            <w:pPr>
              <w:jc w:val="right"/>
              <w:rPr>
                <w:rFonts w:ascii="Arial" w:hAnsi="Arial" w:cs="Arial"/>
                <w:color w:val="000000"/>
              </w:rPr>
            </w:pPr>
            <w:r w:rsidRPr="00721B07">
              <w:rPr>
                <w:rFonts w:ascii="Arial" w:hAnsi="Arial" w:cs="Arial"/>
                <w:color w:val="000000"/>
              </w:rPr>
              <w:t>0.111</w:t>
            </w:r>
          </w:p>
        </w:tc>
        <w:tc>
          <w:tcPr>
            <w:tcW w:w="1240" w:type="dxa"/>
            <w:tcBorders>
              <w:top w:val="nil"/>
              <w:left w:val="nil"/>
              <w:bottom w:val="single" w:sz="4" w:space="0" w:color="auto"/>
              <w:right w:val="single" w:sz="4" w:space="0" w:color="auto"/>
            </w:tcBorders>
            <w:shd w:val="clear" w:color="auto" w:fill="auto"/>
            <w:noWrap/>
            <w:vAlign w:val="bottom"/>
            <w:hideMark/>
          </w:tcPr>
          <w:p w14:paraId="32D1B055" w14:textId="77777777" w:rsidR="00E04ABD" w:rsidRPr="00721B07" w:rsidRDefault="00E04ABD" w:rsidP="00B0051B">
            <w:pPr>
              <w:jc w:val="right"/>
              <w:rPr>
                <w:rFonts w:ascii="Arial" w:hAnsi="Arial" w:cs="Arial"/>
                <w:color w:val="000000"/>
              </w:rPr>
            </w:pPr>
            <w:r w:rsidRPr="00721B07">
              <w:rPr>
                <w:rFonts w:ascii="Arial" w:hAnsi="Arial" w:cs="Arial"/>
                <w:color w:val="000000"/>
              </w:rPr>
              <w:t>0.884</w:t>
            </w:r>
          </w:p>
        </w:tc>
      </w:tr>
      <w:tr w:rsidR="00E04ABD" w:rsidRPr="00721B07" w14:paraId="474AA79F"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4E6770B" w14:textId="77777777" w:rsidR="00E04ABD" w:rsidRPr="00721B07" w:rsidRDefault="00E04ABD" w:rsidP="00B0051B">
            <w:pPr>
              <w:rPr>
                <w:rFonts w:ascii="Arial" w:hAnsi="Arial" w:cs="Arial"/>
                <w:color w:val="000000"/>
              </w:rPr>
            </w:pPr>
            <w:r w:rsidRPr="00721B07">
              <w:rPr>
                <w:rFonts w:ascii="Arial" w:hAnsi="Arial" w:cs="Arial"/>
                <w:color w:val="000000"/>
              </w:rPr>
              <w:t>Interaction: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5871B12B" w14:textId="77777777" w:rsidR="00E04ABD" w:rsidRPr="00721B07" w:rsidRDefault="00E04ABD" w:rsidP="00B0051B">
            <w:pPr>
              <w:jc w:val="right"/>
              <w:rPr>
                <w:rFonts w:ascii="Arial" w:hAnsi="Arial" w:cs="Arial"/>
                <w:color w:val="000000"/>
              </w:rPr>
            </w:pPr>
            <w:r w:rsidRPr="00721B07">
              <w:rPr>
                <w:rFonts w:ascii="Arial" w:hAnsi="Arial" w:cs="Arial"/>
                <w:color w:val="000000"/>
              </w:rPr>
              <w:t>0.059</w:t>
            </w:r>
          </w:p>
        </w:tc>
        <w:tc>
          <w:tcPr>
            <w:tcW w:w="1240" w:type="dxa"/>
            <w:tcBorders>
              <w:top w:val="nil"/>
              <w:left w:val="nil"/>
              <w:bottom w:val="single" w:sz="4" w:space="0" w:color="auto"/>
              <w:right w:val="single" w:sz="4" w:space="0" w:color="auto"/>
            </w:tcBorders>
            <w:shd w:val="clear" w:color="auto" w:fill="auto"/>
            <w:noWrap/>
            <w:vAlign w:val="bottom"/>
            <w:hideMark/>
          </w:tcPr>
          <w:p w14:paraId="1CA6A619" w14:textId="77777777" w:rsidR="00E04ABD" w:rsidRPr="00721B07" w:rsidRDefault="00E04ABD" w:rsidP="00B0051B">
            <w:pPr>
              <w:jc w:val="right"/>
              <w:rPr>
                <w:rFonts w:ascii="Arial" w:hAnsi="Arial" w:cs="Arial"/>
                <w:color w:val="000000"/>
              </w:rPr>
            </w:pPr>
            <w:r w:rsidRPr="00721B07">
              <w:rPr>
                <w:rFonts w:ascii="Arial" w:hAnsi="Arial" w:cs="Arial"/>
                <w:color w:val="000000"/>
              </w:rPr>
              <w:t>0.057</w:t>
            </w:r>
          </w:p>
        </w:tc>
        <w:tc>
          <w:tcPr>
            <w:tcW w:w="1240" w:type="dxa"/>
            <w:tcBorders>
              <w:top w:val="nil"/>
              <w:left w:val="nil"/>
              <w:bottom w:val="single" w:sz="4" w:space="0" w:color="auto"/>
              <w:right w:val="single" w:sz="4" w:space="0" w:color="auto"/>
            </w:tcBorders>
            <w:shd w:val="clear" w:color="auto" w:fill="auto"/>
            <w:noWrap/>
            <w:vAlign w:val="bottom"/>
            <w:hideMark/>
          </w:tcPr>
          <w:p w14:paraId="403EE101" w14:textId="77777777" w:rsidR="00E04ABD" w:rsidRPr="00721B07" w:rsidRDefault="00E04ABD" w:rsidP="00B0051B">
            <w:pPr>
              <w:jc w:val="right"/>
              <w:rPr>
                <w:rFonts w:ascii="Arial" w:hAnsi="Arial" w:cs="Arial"/>
                <w:color w:val="000000"/>
              </w:rPr>
            </w:pPr>
            <w:r w:rsidRPr="00721B07">
              <w:rPr>
                <w:rFonts w:ascii="Arial" w:hAnsi="Arial" w:cs="Arial"/>
                <w:color w:val="000000"/>
              </w:rPr>
              <w:t>0.300</w:t>
            </w:r>
          </w:p>
        </w:tc>
      </w:tr>
      <w:tr w:rsidR="00E04ABD" w:rsidRPr="00721B07" w14:paraId="1ACC0918"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60D6AD0" w14:textId="77777777" w:rsidR="00E04ABD" w:rsidRPr="00721B07" w:rsidRDefault="00E04ABD" w:rsidP="00B0051B">
            <w:pPr>
              <w:rPr>
                <w:rFonts w:ascii="Arial" w:hAnsi="Arial" w:cs="Arial"/>
                <w:color w:val="000000"/>
              </w:rPr>
            </w:pPr>
            <w:r w:rsidRPr="00721B07">
              <w:rPr>
                <w:rFonts w:ascii="Arial" w:hAnsi="Arial" w:cs="Arial"/>
                <w:color w:val="000000"/>
              </w:rPr>
              <w:t>Interaction: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1BC75E32" w14:textId="77777777" w:rsidR="00E04ABD" w:rsidRPr="00721B07" w:rsidRDefault="00E04ABD" w:rsidP="00B0051B">
            <w:pPr>
              <w:jc w:val="right"/>
              <w:rPr>
                <w:rFonts w:ascii="Arial" w:hAnsi="Arial" w:cs="Arial"/>
                <w:color w:val="000000"/>
              </w:rPr>
            </w:pPr>
            <w:r w:rsidRPr="00721B07">
              <w:rPr>
                <w:rFonts w:ascii="Arial" w:hAnsi="Arial" w:cs="Arial"/>
                <w:color w:val="000000"/>
              </w:rPr>
              <w:t>0.018</w:t>
            </w:r>
          </w:p>
        </w:tc>
        <w:tc>
          <w:tcPr>
            <w:tcW w:w="1240" w:type="dxa"/>
            <w:tcBorders>
              <w:top w:val="nil"/>
              <w:left w:val="nil"/>
              <w:bottom w:val="single" w:sz="4" w:space="0" w:color="auto"/>
              <w:right w:val="single" w:sz="4" w:space="0" w:color="auto"/>
            </w:tcBorders>
            <w:shd w:val="clear" w:color="auto" w:fill="auto"/>
            <w:noWrap/>
            <w:vAlign w:val="bottom"/>
            <w:hideMark/>
          </w:tcPr>
          <w:p w14:paraId="4A755338" w14:textId="77777777" w:rsidR="00E04ABD" w:rsidRPr="00721B07" w:rsidRDefault="00E04ABD" w:rsidP="00B0051B">
            <w:pPr>
              <w:jc w:val="right"/>
              <w:rPr>
                <w:rFonts w:ascii="Arial" w:hAnsi="Arial" w:cs="Arial"/>
                <w:color w:val="000000"/>
              </w:rPr>
            </w:pPr>
            <w:r w:rsidRPr="00721B07">
              <w:rPr>
                <w:rFonts w:ascii="Arial" w:hAnsi="Arial" w:cs="Arial"/>
                <w:color w:val="000000"/>
              </w:rPr>
              <w:t>0.041</w:t>
            </w:r>
          </w:p>
        </w:tc>
        <w:tc>
          <w:tcPr>
            <w:tcW w:w="1240" w:type="dxa"/>
            <w:tcBorders>
              <w:top w:val="nil"/>
              <w:left w:val="nil"/>
              <w:bottom w:val="single" w:sz="4" w:space="0" w:color="auto"/>
              <w:right w:val="single" w:sz="4" w:space="0" w:color="auto"/>
            </w:tcBorders>
            <w:shd w:val="clear" w:color="auto" w:fill="auto"/>
            <w:noWrap/>
            <w:vAlign w:val="bottom"/>
            <w:hideMark/>
          </w:tcPr>
          <w:p w14:paraId="120667E2" w14:textId="77777777" w:rsidR="00E04ABD" w:rsidRPr="00721B07" w:rsidRDefault="00E04ABD" w:rsidP="00B0051B">
            <w:pPr>
              <w:jc w:val="right"/>
              <w:rPr>
                <w:rFonts w:ascii="Arial" w:hAnsi="Arial" w:cs="Arial"/>
                <w:color w:val="000000"/>
              </w:rPr>
            </w:pPr>
            <w:r w:rsidRPr="00721B07">
              <w:rPr>
                <w:rFonts w:ascii="Arial" w:hAnsi="Arial" w:cs="Arial"/>
                <w:color w:val="000000"/>
              </w:rPr>
              <w:t>0.664</w:t>
            </w:r>
          </w:p>
        </w:tc>
      </w:tr>
      <w:tr w:rsidR="00E04ABD" w:rsidRPr="00721B07" w14:paraId="74FF1F8B"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08595D8" w14:textId="77777777" w:rsidR="00E04ABD" w:rsidRPr="00721B07" w:rsidRDefault="00E04ABD" w:rsidP="00B0051B">
            <w:pPr>
              <w:rPr>
                <w:rFonts w:ascii="Arial" w:hAnsi="Arial" w:cs="Arial"/>
                <w:color w:val="000000"/>
              </w:rPr>
            </w:pPr>
            <w:r w:rsidRPr="00721B07">
              <w:rPr>
                <w:rFonts w:ascii="Arial" w:hAnsi="Arial" w:cs="Arial"/>
                <w:color w:val="000000"/>
              </w:rPr>
              <w:t>Interaction: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FD234D1" w14:textId="77777777" w:rsidR="00E04ABD" w:rsidRPr="00721B07" w:rsidRDefault="00E04ABD" w:rsidP="00B0051B">
            <w:pPr>
              <w:jc w:val="right"/>
              <w:rPr>
                <w:rFonts w:ascii="Arial" w:hAnsi="Arial" w:cs="Arial"/>
                <w:color w:val="000000"/>
              </w:rPr>
            </w:pPr>
            <w:r w:rsidRPr="00721B07">
              <w:rPr>
                <w:rFonts w:ascii="Arial" w:hAnsi="Arial" w:cs="Arial"/>
                <w:color w:val="000000"/>
              </w:rPr>
              <w:t>-0.027</w:t>
            </w:r>
          </w:p>
        </w:tc>
        <w:tc>
          <w:tcPr>
            <w:tcW w:w="1240" w:type="dxa"/>
            <w:tcBorders>
              <w:top w:val="nil"/>
              <w:left w:val="nil"/>
              <w:bottom w:val="single" w:sz="4" w:space="0" w:color="auto"/>
              <w:right w:val="single" w:sz="4" w:space="0" w:color="auto"/>
            </w:tcBorders>
            <w:shd w:val="clear" w:color="auto" w:fill="auto"/>
            <w:noWrap/>
            <w:vAlign w:val="bottom"/>
            <w:hideMark/>
          </w:tcPr>
          <w:p w14:paraId="7E411C59" w14:textId="77777777" w:rsidR="00E04ABD" w:rsidRPr="00721B07" w:rsidRDefault="00E04ABD" w:rsidP="00B0051B">
            <w:pPr>
              <w:jc w:val="right"/>
              <w:rPr>
                <w:rFonts w:ascii="Arial" w:hAnsi="Arial" w:cs="Arial"/>
                <w:color w:val="000000"/>
              </w:rPr>
            </w:pPr>
            <w:r w:rsidRPr="00721B07">
              <w:rPr>
                <w:rFonts w:ascii="Arial" w:hAnsi="Arial" w:cs="Arial"/>
                <w:color w:val="000000"/>
              </w:rPr>
              <w:t>0.048</w:t>
            </w:r>
          </w:p>
        </w:tc>
        <w:tc>
          <w:tcPr>
            <w:tcW w:w="1240" w:type="dxa"/>
            <w:tcBorders>
              <w:top w:val="nil"/>
              <w:left w:val="nil"/>
              <w:bottom w:val="single" w:sz="4" w:space="0" w:color="auto"/>
              <w:right w:val="single" w:sz="4" w:space="0" w:color="auto"/>
            </w:tcBorders>
            <w:shd w:val="clear" w:color="auto" w:fill="auto"/>
            <w:noWrap/>
            <w:vAlign w:val="bottom"/>
            <w:hideMark/>
          </w:tcPr>
          <w:p w14:paraId="22E98E26" w14:textId="77777777" w:rsidR="00E04ABD" w:rsidRPr="00721B07" w:rsidRDefault="00E04ABD" w:rsidP="00B0051B">
            <w:pPr>
              <w:jc w:val="right"/>
              <w:rPr>
                <w:rFonts w:ascii="Arial" w:hAnsi="Arial" w:cs="Arial"/>
                <w:color w:val="000000"/>
              </w:rPr>
            </w:pPr>
            <w:r w:rsidRPr="00721B07">
              <w:rPr>
                <w:rFonts w:ascii="Arial" w:hAnsi="Arial" w:cs="Arial"/>
                <w:color w:val="000000"/>
              </w:rPr>
              <w:t>0.573</w:t>
            </w:r>
          </w:p>
        </w:tc>
      </w:tr>
      <w:tr w:rsidR="00E04ABD" w:rsidRPr="00721B07" w14:paraId="5718FFAC"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A6A0C3B" w14:textId="77777777" w:rsidR="00E04ABD" w:rsidRPr="00721B07" w:rsidRDefault="00E04ABD" w:rsidP="00B0051B">
            <w:pPr>
              <w:rPr>
                <w:rFonts w:ascii="Arial" w:hAnsi="Arial" w:cs="Arial"/>
                <w:color w:val="000000"/>
              </w:rPr>
            </w:pPr>
            <w:r w:rsidRPr="00721B07">
              <w:rPr>
                <w:rFonts w:ascii="Arial" w:hAnsi="Arial" w:cs="Arial"/>
                <w:color w:val="000000"/>
              </w:rPr>
              <w:t>Prior surgery</w:t>
            </w:r>
          </w:p>
        </w:tc>
        <w:tc>
          <w:tcPr>
            <w:tcW w:w="1457" w:type="dxa"/>
            <w:tcBorders>
              <w:top w:val="nil"/>
              <w:left w:val="nil"/>
              <w:bottom w:val="single" w:sz="4" w:space="0" w:color="auto"/>
              <w:right w:val="single" w:sz="4" w:space="0" w:color="auto"/>
            </w:tcBorders>
            <w:shd w:val="clear" w:color="auto" w:fill="auto"/>
            <w:noWrap/>
            <w:vAlign w:val="bottom"/>
            <w:hideMark/>
          </w:tcPr>
          <w:p w14:paraId="516433A3" w14:textId="77777777" w:rsidR="00E04ABD" w:rsidRPr="00721B07" w:rsidRDefault="00E04ABD" w:rsidP="00B0051B">
            <w:pPr>
              <w:jc w:val="right"/>
              <w:rPr>
                <w:rFonts w:ascii="Arial" w:hAnsi="Arial" w:cs="Arial"/>
                <w:color w:val="000000"/>
              </w:rPr>
            </w:pPr>
            <w:r w:rsidRPr="00721B07">
              <w:rPr>
                <w:rFonts w:ascii="Arial" w:hAnsi="Arial" w:cs="Arial"/>
                <w:color w:val="000000"/>
              </w:rPr>
              <w:t>1.109</w:t>
            </w:r>
          </w:p>
        </w:tc>
        <w:tc>
          <w:tcPr>
            <w:tcW w:w="1240" w:type="dxa"/>
            <w:tcBorders>
              <w:top w:val="nil"/>
              <w:left w:val="nil"/>
              <w:bottom w:val="single" w:sz="4" w:space="0" w:color="auto"/>
              <w:right w:val="single" w:sz="4" w:space="0" w:color="auto"/>
            </w:tcBorders>
            <w:shd w:val="clear" w:color="auto" w:fill="auto"/>
            <w:noWrap/>
            <w:vAlign w:val="bottom"/>
            <w:hideMark/>
          </w:tcPr>
          <w:p w14:paraId="0C1DC5F7" w14:textId="77777777" w:rsidR="00E04ABD" w:rsidRPr="00721B07" w:rsidRDefault="00E04ABD" w:rsidP="00B0051B">
            <w:pPr>
              <w:jc w:val="right"/>
              <w:rPr>
                <w:rFonts w:ascii="Arial" w:hAnsi="Arial" w:cs="Arial"/>
                <w:color w:val="000000"/>
              </w:rPr>
            </w:pPr>
            <w:r w:rsidRPr="00721B07">
              <w:rPr>
                <w:rFonts w:ascii="Arial" w:hAnsi="Arial" w:cs="Arial"/>
                <w:color w:val="000000"/>
              </w:rPr>
              <w:t>0.206</w:t>
            </w:r>
          </w:p>
        </w:tc>
        <w:tc>
          <w:tcPr>
            <w:tcW w:w="1240" w:type="dxa"/>
            <w:tcBorders>
              <w:top w:val="nil"/>
              <w:left w:val="nil"/>
              <w:bottom w:val="single" w:sz="4" w:space="0" w:color="auto"/>
              <w:right w:val="single" w:sz="4" w:space="0" w:color="auto"/>
            </w:tcBorders>
            <w:shd w:val="clear" w:color="auto" w:fill="auto"/>
            <w:noWrap/>
            <w:vAlign w:val="bottom"/>
            <w:hideMark/>
          </w:tcPr>
          <w:p w14:paraId="6D404EB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BFC4A6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5155C0C" w14:textId="03DDD326" w:rsidR="00E04ABD" w:rsidRPr="004C6345" w:rsidRDefault="00E04ABD" w:rsidP="00B0051B">
            <w:pPr>
              <w:rPr>
                <w:rFonts w:ascii="Arial" w:hAnsi="Arial" w:cs="Arial"/>
                <w:color w:val="000000"/>
              </w:rPr>
            </w:pPr>
            <w:r w:rsidRPr="004C6345">
              <w:rPr>
                <w:rFonts w:ascii="Arial" w:hAnsi="Arial" w:cs="Arial"/>
                <w:color w:val="000000"/>
              </w:rPr>
              <w:t xml:space="preserve">Prior </w:t>
            </w:r>
            <w:r w:rsidR="004C6345" w:rsidRPr="004C6345">
              <w:rPr>
                <w:rFonts w:ascii="Arial" w:hAnsi="Arial" w:cs="Arial"/>
                <w:color w:val="000000"/>
              </w:rPr>
              <w:t>self-</w:t>
            </w:r>
            <w:r w:rsidRPr="004C6345">
              <w:rPr>
                <w:rFonts w:ascii="Arial" w:hAnsi="Arial" w:cs="Arial"/>
                <w:color w:val="000000"/>
              </w:rPr>
              <w:t>care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4F792E25" w14:textId="77777777" w:rsidR="00E04ABD" w:rsidRPr="00721B07" w:rsidRDefault="00E04ABD" w:rsidP="00B0051B">
            <w:pPr>
              <w:jc w:val="right"/>
              <w:rPr>
                <w:rFonts w:ascii="Arial" w:hAnsi="Arial" w:cs="Arial"/>
                <w:color w:val="000000"/>
              </w:rPr>
            </w:pPr>
            <w:r w:rsidRPr="00721B07">
              <w:rPr>
                <w:rFonts w:ascii="Arial" w:hAnsi="Arial" w:cs="Arial"/>
                <w:color w:val="000000"/>
              </w:rPr>
              <w:t>-2.804</w:t>
            </w:r>
          </w:p>
        </w:tc>
        <w:tc>
          <w:tcPr>
            <w:tcW w:w="1240" w:type="dxa"/>
            <w:tcBorders>
              <w:top w:val="nil"/>
              <w:left w:val="nil"/>
              <w:bottom w:val="single" w:sz="4" w:space="0" w:color="auto"/>
              <w:right w:val="single" w:sz="4" w:space="0" w:color="auto"/>
            </w:tcBorders>
            <w:shd w:val="clear" w:color="auto" w:fill="auto"/>
            <w:noWrap/>
            <w:vAlign w:val="bottom"/>
            <w:hideMark/>
          </w:tcPr>
          <w:p w14:paraId="76EC2FF5" w14:textId="77777777" w:rsidR="00E04ABD" w:rsidRPr="00721B07" w:rsidRDefault="00E04ABD" w:rsidP="00B0051B">
            <w:pPr>
              <w:jc w:val="right"/>
              <w:rPr>
                <w:rFonts w:ascii="Arial" w:hAnsi="Arial" w:cs="Arial"/>
                <w:color w:val="000000"/>
              </w:rPr>
            </w:pPr>
            <w:r w:rsidRPr="00721B07">
              <w:rPr>
                <w:rFonts w:ascii="Arial" w:hAnsi="Arial" w:cs="Arial"/>
                <w:color w:val="000000"/>
              </w:rPr>
              <w:t>0.555</w:t>
            </w:r>
          </w:p>
        </w:tc>
        <w:tc>
          <w:tcPr>
            <w:tcW w:w="1240" w:type="dxa"/>
            <w:tcBorders>
              <w:top w:val="nil"/>
              <w:left w:val="nil"/>
              <w:bottom w:val="single" w:sz="4" w:space="0" w:color="auto"/>
              <w:right w:val="single" w:sz="4" w:space="0" w:color="auto"/>
            </w:tcBorders>
            <w:shd w:val="clear" w:color="auto" w:fill="auto"/>
            <w:noWrap/>
            <w:vAlign w:val="bottom"/>
            <w:hideMark/>
          </w:tcPr>
          <w:p w14:paraId="5DF8C72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16C96E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8BE3BB7" w14:textId="76B6D68E" w:rsidR="00E04ABD" w:rsidRPr="004C6345" w:rsidRDefault="00E04ABD" w:rsidP="00B0051B">
            <w:pPr>
              <w:rPr>
                <w:rFonts w:ascii="Arial" w:hAnsi="Arial" w:cs="Arial"/>
                <w:color w:val="000000"/>
              </w:rPr>
            </w:pPr>
            <w:r w:rsidRPr="004C6345">
              <w:rPr>
                <w:rFonts w:ascii="Arial" w:hAnsi="Arial" w:cs="Arial"/>
                <w:color w:val="000000"/>
              </w:rPr>
              <w:t xml:space="preserve">Prior </w:t>
            </w:r>
            <w:r w:rsidR="004C6345" w:rsidRPr="004C6345">
              <w:rPr>
                <w:rFonts w:ascii="Arial" w:hAnsi="Arial" w:cs="Arial"/>
                <w:color w:val="000000"/>
              </w:rPr>
              <w:t>self-</w:t>
            </w:r>
            <w:r w:rsidRPr="004C6345">
              <w:rPr>
                <w:rFonts w:ascii="Arial" w:hAnsi="Arial" w:cs="Arial"/>
                <w:color w:val="000000"/>
              </w:rPr>
              <w:t>care - Some help</w:t>
            </w:r>
          </w:p>
        </w:tc>
        <w:tc>
          <w:tcPr>
            <w:tcW w:w="1457" w:type="dxa"/>
            <w:tcBorders>
              <w:top w:val="nil"/>
              <w:left w:val="nil"/>
              <w:bottom w:val="single" w:sz="4" w:space="0" w:color="auto"/>
              <w:right w:val="single" w:sz="4" w:space="0" w:color="auto"/>
            </w:tcBorders>
            <w:shd w:val="clear" w:color="auto" w:fill="auto"/>
            <w:noWrap/>
            <w:vAlign w:val="bottom"/>
            <w:hideMark/>
          </w:tcPr>
          <w:p w14:paraId="0505921B" w14:textId="77777777" w:rsidR="00E04ABD" w:rsidRPr="00721B07" w:rsidRDefault="00E04ABD" w:rsidP="00B0051B">
            <w:pPr>
              <w:jc w:val="right"/>
              <w:rPr>
                <w:rFonts w:ascii="Arial" w:hAnsi="Arial" w:cs="Arial"/>
                <w:color w:val="000000"/>
              </w:rPr>
            </w:pPr>
            <w:r w:rsidRPr="00721B07">
              <w:rPr>
                <w:rFonts w:ascii="Arial" w:hAnsi="Arial" w:cs="Arial"/>
                <w:color w:val="000000"/>
              </w:rPr>
              <w:t>-1.616</w:t>
            </w:r>
          </w:p>
        </w:tc>
        <w:tc>
          <w:tcPr>
            <w:tcW w:w="1240" w:type="dxa"/>
            <w:tcBorders>
              <w:top w:val="nil"/>
              <w:left w:val="nil"/>
              <w:bottom w:val="single" w:sz="4" w:space="0" w:color="auto"/>
              <w:right w:val="single" w:sz="4" w:space="0" w:color="auto"/>
            </w:tcBorders>
            <w:shd w:val="clear" w:color="auto" w:fill="auto"/>
            <w:noWrap/>
            <w:vAlign w:val="bottom"/>
            <w:hideMark/>
          </w:tcPr>
          <w:p w14:paraId="41C2D93F" w14:textId="77777777" w:rsidR="00E04ABD" w:rsidRPr="00721B07" w:rsidRDefault="00E04ABD" w:rsidP="00B0051B">
            <w:pPr>
              <w:jc w:val="right"/>
              <w:rPr>
                <w:rFonts w:ascii="Arial" w:hAnsi="Arial" w:cs="Arial"/>
                <w:color w:val="000000"/>
              </w:rPr>
            </w:pPr>
            <w:r w:rsidRPr="00721B07">
              <w:rPr>
                <w:rFonts w:ascii="Arial" w:hAnsi="Arial" w:cs="Arial"/>
                <w:color w:val="000000"/>
              </w:rPr>
              <w:t>0.240</w:t>
            </w:r>
          </w:p>
        </w:tc>
        <w:tc>
          <w:tcPr>
            <w:tcW w:w="1240" w:type="dxa"/>
            <w:tcBorders>
              <w:top w:val="nil"/>
              <w:left w:val="nil"/>
              <w:bottom w:val="single" w:sz="4" w:space="0" w:color="auto"/>
              <w:right w:val="single" w:sz="4" w:space="0" w:color="auto"/>
            </w:tcBorders>
            <w:shd w:val="clear" w:color="auto" w:fill="auto"/>
            <w:noWrap/>
            <w:vAlign w:val="bottom"/>
            <w:hideMark/>
          </w:tcPr>
          <w:p w14:paraId="6B150BA5"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1D4C6C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DE5ED5D" w14:textId="77777777" w:rsidR="00E04ABD" w:rsidRPr="00721B07" w:rsidRDefault="00E04ABD" w:rsidP="00B0051B">
            <w:pPr>
              <w:rPr>
                <w:rFonts w:ascii="Arial" w:hAnsi="Arial" w:cs="Arial"/>
                <w:color w:val="000000"/>
              </w:rPr>
            </w:pPr>
            <w:r w:rsidRPr="00721B07">
              <w:rPr>
                <w:rFonts w:ascii="Arial" w:hAnsi="Arial" w:cs="Arial"/>
                <w:color w:val="000000"/>
              </w:rPr>
              <w:t>Prior indoor ambulation - Dependent/some help</w:t>
            </w:r>
          </w:p>
        </w:tc>
        <w:tc>
          <w:tcPr>
            <w:tcW w:w="1457" w:type="dxa"/>
            <w:tcBorders>
              <w:top w:val="nil"/>
              <w:left w:val="nil"/>
              <w:bottom w:val="single" w:sz="4" w:space="0" w:color="auto"/>
              <w:right w:val="single" w:sz="4" w:space="0" w:color="auto"/>
            </w:tcBorders>
            <w:shd w:val="clear" w:color="auto" w:fill="auto"/>
            <w:noWrap/>
            <w:vAlign w:val="bottom"/>
            <w:hideMark/>
          </w:tcPr>
          <w:p w14:paraId="58CFF3A2" w14:textId="77777777" w:rsidR="00E04ABD" w:rsidRPr="00721B07" w:rsidRDefault="00E04ABD" w:rsidP="00B0051B">
            <w:pPr>
              <w:jc w:val="right"/>
              <w:rPr>
                <w:rFonts w:ascii="Arial" w:hAnsi="Arial" w:cs="Arial"/>
                <w:color w:val="000000"/>
              </w:rPr>
            </w:pPr>
            <w:r w:rsidRPr="00721B07">
              <w:rPr>
                <w:rFonts w:ascii="Arial" w:hAnsi="Arial" w:cs="Arial"/>
                <w:color w:val="000000"/>
              </w:rPr>
              <w:t>-0.603</w:t>
            </w:r>
          </w:p>
        </w:tc>
        <w:tc>
          <w:tcPr>
            <w:tcW w:w="1240" w:type="dxa"/>
            <w:tcBorders>
              <w:top w:val="nil"/>
              <w:left w:val="nil"/>
              <w:bottom w:val="single" w:sz="4" w:space="0" w:color="auto"/>
              <w:right w:val="single" w:sz="4" w:space="0" w:color="auto"/>
            </w:tcBorders>
            <w:shd w:val="clear" w:color="auto" w:fill="auto"/>
            <w:noWrap/>
            <w:vAlign w:val="bottom"/>
            <w:hideMark/>
          </w:tcPr>
          <w:p w14:paraId="3CC26871" w14:textId="77777777" w:rsidR="00E04ABD" w:rsidRPr="00721B07" w:rsidRDefault="00E04ABD" w:rsidP="00B0051B">
            <w:pPr>
              <w:jc w:val="right"/>
              <w:rPr>
                <w:rFonts w:ascii="Arial" w:hAnsi="Arial" w:cs="Arial"/>
                <w:color w:val="000000"/>
              </w:rPr>
            </w:pPr>
            <w:r w:rsidRPr="00721B07">
              <w:rPr>
                <w:rFonts w:ascii="Arial" w:hAnsi="Arial" w:cs="Arial"/>
                <w:color w:val="000000"/>
              </w:rPr>
              <w:t>0.253</w:t>
            </w:r>
          </w:p>
        </w:tc>
        <w:tc>
          <w:tcPr>
            <w:tcW w:w="1240" w:type="dxa"/>
            <w:tcBorders>
              <w:top w:val="nil"/>
              <w:left w:val="nil"/>
              <w:bottom w:val="single" w:sz="4" w:space="0" w:color="auto"/>
              <w:right w:val="single" w:sz="4" w:space="0" w:color="auto"/>
            </w:tcBorders>
            <w:shd w:val="clear" w:color="auto" w:fill="auto"/>
            <w:noWrap/>
            <w:vAlign w:val="bottom"/>
            <w:hideMark/>
          </w:tcPr>
          <w:p w14:paraId="092D81AF" w14:textId="77777777" w:rsidR="00E04ABD" w:rsidRPr="00721B07" w:rsidRDefault="00E04ABD" w:rsidP="00B0051B">
            <w:pPr>
              <w:jc w:val="right"/>
              <w:rPr>
                <w:rFonts w:ascii="Arial" w:hAnsi="Arial" w:cs="Arial"/>
                <w:color w:val="000000"/>
              </w:rPr>
            </w:pPr>
            <w:r w:rsidRPr="00721B07">
              <w:rPr>
                <w:rFonts w:ascii="Arial" w:hAnsi="Arial" w:cs="Arial"/>
                <w:color w:val="000000"/>
              </w:rPr>
              <w:t>0.017</w:t>
            </w:r>
          </w:p>
        </w:tc>
      </w:tr>
      <w:tr w:rsidR="00E04ABD" w:rsidRPr="00721B07" w14:paraId="73FF0F2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AD9AC16" w14:textId="77777777" w:rsidR="00E04ABD" w:rsidRPr="00721B07" w:rsidRDefault="00E04ABD" w:rsidP="00B0051B">
            <w:pPr>
              <w:rPr>
                <w:rFonts w:ascii="Arial" w:hAnsi="Arial" w:cs="Arial"/>
                <w:color w:val="000000"/>
              </w:rPr>
            </w:pPr>
            <w:r w:rsidRPr="00721B07">
              <w:rPr>
                <w:rFonts w:ascii="Arial" w:hAnsi="Arial" w:cs="Arial"/>
                <w:color w:val="000000"/>
              </w:rPr>
              <w:t>Walker</w:t>
            </w:r>
          </w:p>
        </w:tc>
        <w:tc>
          <w:tcPr>
            <w:tcW w:w="1457" w:type="dxa"/>
            <w:tcBorders>
              <w:top w:val="nil"/>
              <w:left w:val="nil"/>
              <w:bottom w:val="single" w:sz="4" w:space="0" w:color="auto"/>
              <w:right w:val="single" w:sz="4" w:space="0" w:color="auto"/>
            </w:tcBorders>
            <w:shd w:val="clear" w:color="auto" w:fill="auto"/>
            <w:noWrap/>
            <w:vAlign w:val="bottom"/>
            <w:hideMark/>
          </w:tcPr>
          <w:p w14:paraId="1BAB96E5" w14:textId="77777777" w:rsidR="00E04ABD" w:rsidRPr="00721B07" w:rsidRDefault="00E04ABD" w:rsidP="00B0051B">
            <w:pPr>
              <w:jc w:val="right"/>
              <w:rPr>
                <w:rFonts w:ascii="Arial" w:hAnsi="Arial" w:cs="Arial"/>
                <w:color w:val="000000"/>
              </w:rPr>
            </w:pPr>
            <w:r w:rsidRPr="00721B07">
              <w:rPr>
                <w:rFonts w:ascii="Arial" w:hAnsi="Arial" w:cs="Arial"/>
                <w:color w:val="000000"/>
              </w:rPr>
              <w:t>-0.571</w:t>
            </w:r>
          </w:p>
        </w:tc>
        <w:tc>
          <w:tcPr>
            <w:tcW w:w="1240" w:type="dxa"/>
            <w:tcBorders>
              <w:top w:val="nil"/>
              <w:left w:val="nil"/>
              <w:bottom w:val="single" w:sz="4" w:space="0" w:color="auto"/>
              <w:right w:val="single" w:sz="4" w:space="0" w:color="auto"/>
            </w:tcBorders>
            <w:shd w:val="clear" w:color="auto" w:fill="auto"/>
            <w:noWrap/>
            <w:vAlign w:val="bottom"/>
            <w:hideMark/>
          </w:tcPr>
          <w:p w14:paraId="20C88CEF" w14:textId="77777777" w:rsidR="00E04ABD" w:rsidRPr="00721B07" w:rsidRDefault="00E04ABD" w:rsidP="00B0051B">
            <w:pPr>
              <w:jc w:val="right"/>
              <w:rPr>
                <w:rFonts w:ascii="Arial" w:hAnsi="Arial" w:cs="Arial"/>
                <w:color w:val="000000"/>
              </w:rPr>
            </w:pPr>
            <w:r w:rsidRPr="00721B07">
              <w:rPr>
                <w:rFonts w:ascii="Arial" w:hAnsi="Arial" w:cs="Arial"/>
                <w:color w:val="000000"/>
              </w:rPr>
              <w:t>0.176</w:t>
            </w:r>
          </w:p>
        </w:tc>
        <w:tc>
          <w:tcPr>
            <w:tcW w:w="1240" w:type="dxa"/>
            <w:tcBorders>
              <w:top w:val="nil"/>
              <w:left w:val="nil"/>
              <w:bottom w:val="single" w:sz="4" w:space="0" w:color="auto"/>
              <w:right w:val="single" w:sz="4" w:space="0" w:color="auto"/>
            </w:tcBorders>
            <w:shd w:val="clear" w:color="auto" w:fill="auto"/>
            <w:noWrap/>
            <w:vAlign w:val="bottom"/>
            <w:hideMark/>
          </w:tcPr>
          <w:p w14:paraId="48D37A13"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51E5852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AF54CB9" w14:textId="77777777" w:rsidR="00E04ABD" w:rsidRPr="00721B07" w:rsidRDefault="00E04ABD" w:rsidP="00B0051B">
            <w:pPr>
              <w:rPr>
                <w:rFonts w:ascii="Arial" w:hAnsi="Arial" w:cs="Arial"/>
                <w:color w:val="000000"/>
              </w:rPr>
            </w:pPr>
            <w:r w:rsidRPr="00721B07">
              <w:rPr>
                <w:rFonts w:ascii="Arial" w:hAnsi="Arial" w:cs="Arial"/>
                <w:color w:val="000000"/>
              </w:rPr>
              <w:t>Wheelchair/scooter full time/part time</w:t>
            </w:r>
          </w:p>
        </w:tc>
        <w:tc>
          <w:tcPr>
            <w:tcW w:w="1457" w:type="dxa"/>
            <w:tcBorders>
              <w:top w:val="nil"/>
              <w:left w:val="nil"/>
              <w:bottom w:val="single" w:sz="4" w:space="0" w:color="auto"/>
              <w:right w:val="single" w:sz="4" w:space="0" w:color="auto"/>
            </w:tcBorders>
            <w:shd w:val="clear" w:color="auto" w:fill="auto"/>
            <w:noWrap/>
            <w:vAlign w:val="bottom"/>
            <w:hideMark/>
          </w:tcPr>
          <w:p w14:paraId="4F8D0AEE" w14:textId="77777777" w:rsidR="00E04ABD" w:rsidRPr="00721B07" w:rsidRDefault="00E04ABD" w:rsidP="00B0051B">
            <w:pPr>
              <w:jc w:val="right"/>
              <w:rPr>
                <w:rFonts w:ascii="Arial" w:hAnsi="Arial" w:cs="Arial"/>
                <w:color w:val="000000"/>
              </w:rPr>
            </w:pPr>
            <w:r w:rsidRPr="00721B07">
              <w:rPr>
                <w:rFonts w:ascii="Arial" w:hAnsi="Arial" w:cs="Arial"/>
                <w:color w:val="000000"/>
              </w:rPr>
              <w:t>-1.562</w:t>
            </w:r>
          </w:p>
        </w:tc>
        <w:tc>
          <w:tcPr>
            <w:tcW w:w="1240" w:type="dxa"/>
            <w:tcBorders>
              <w:top w:val="nil"/>
              <w:left w:val="nil"/>
              <w:bottom w:val="single" w:sz="4" w:space="0" w:color="auto"/>
              <w:right w:val="single" w:sz="4" w:space="0" w:color="auto"/>
            </w:tcBorders>
            <w:shd w:val="clear" w:color="auto" w:fill="auto"/>
            <w:noWrap/>
            <w:vAlign w:val="bottom"/>
            <w:hideMark/>
          </w:tcPr>
          <w:p w14:paraId="70E92F5D" w14:textId="77777777" w:rsidR="00E04ABD" w:rsidRPr="00721B07" w:rsidRDefault="00E04ABD" w:rsidP="00B0051B">
            <w:pPr>
              <w:jc w:val="right"/>
              <w:rPr>
                <w:rFonts w:ascii="Arial" w:hAnsi="Arial" w:cs="Arial"/>
                <w:color w:val="000000"/>
              </w:rPr>
            </w:pPr>
            <w:r w:rsidRPr="00721B07">
              <w:rPr>
                <w:rFonts w:ascii="Arial" w:hAnsi="Arial" w:cs="Arial"/>
                <w:color w:val="000000"/>
              </w:rPr>
              <w:t>0.262</w:t>
            </w:r>
          </w:p>
        </w:tc>
        <w:tc>
          <w:tcPr>
            <w:tcW w:w="1240" w:type="dxa"/>
            <w:tcBorders>
              <w:top w:val="nil"/>
              <w:left w:val="nil"/>
              <w:bottom w:val="single" w:sz="4" w:space="0" w:color="auto"/>
              <w:right w:val="single" w:sz="4" w:space="0" w:color="auto"/>
            </w:tcBorders>
            <w:shd w:val="clear" w:color="auto" w:fill="auto"/>
            <w:noWrap/>
            <w:vAlign w:val="bottom"/>
            <w:hideMark/>
          </w:tcPr>
          <w:p w14:paraId="3CCAF9FF"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C777D3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D32EB82" w14:textId="77777777" w:rsidR="00E04ABD" w:rsidRPr="00721B07" w:rsidRDefault="00E04ABD" w:rsidP="00B0051B">
            <w:pPr>
              <w:rPr>
                <w:rFonts w:ascii="Arial" w:hAnsi="Arial" w:cs="Arial"/>
                <w:color w:val="000000"/>
              </w:rPr>
            </w:pPr>
            <w:r w:rsidRPr="00721B07">
              <w:rPr>
                <w:rFonts w:ascii="Arial" w:hAnsi="Arial" w:cs="Arial"/>
                <w:color w:val="000000"/>
              </w:rPr>
              <w:t>Mechanical lift</w:t>
            </w:r>
          </w:p>
        </w:tc>
        <w:tc>
          <w:tcPr>
            <w:tcW w:w="1457" w:type="dxa"/>
            <w:tcBorders>
              <w:top w:val="nil"/>
              <w:left w:val="nil"/>
              <w:bottom w:val="single" w:sz="4" w:space="0" w:color="auto"/>
              <w:right w:val="single" w:sz="4" w:space="0" w:color="auto"/>
            </w:tcBorders>
            <w:shd w:val="clear" w:color="auto" w:fill="auto"/>
            <w:noWrap/>
            <w:vAlign w:val="bottom"/>
            <w:hideMark/>
          </w:tcPr>
          <w:p w14:paraId="5581C419" w14:textId="77777777" w:rsidR="00E04ABD" w:rsidRPr="00721B07" w:rsidRDefault="00E04ABD" w:rsidP="00B0051B">
            <w:pPr>
              <w:jc w:val="right"/>
              <w:rPr>
                <w:rFonts w:ascii="Arial" w:hAnsi="Arial" w:cs="Arial"/>
                <w:color w:val="000000"/>
              </w:rPr>
            </w:pPr>
            <w:r w:rsidRPr="00721B07">
              <w:rPr>
                <w:rFonts w:ascii="Arial" w:hAnsi="Arial" w:cs="Arial"/>
                <w:color w:val="000000"/>
              </w:rPr>
              <w:t>-3.044</w:t>
            </w:r>
          </w:p>
        </w:tc>
        <w:tc>
          <w:tcPr>
            <w:tcW w:w="1240" w:type="dxa"/>
            <w:tcBorders>
              <w:top w:val="nil"/>
              <w:left w:val="nil"/>
              <w:bottom w:val="single" w:sz="4" w:space="0" w:color="auto"/>
              <w:right w:val="single" w:sz="4" w:space="0" w:color="auto"/>
            </w:tcBorders>
            <w:shd w:val="clear" w:color="auto" w:fill="auto"/>
            <w:noWrap/>
            <w:vAlign w:val="bottom"/>
            <w:hideMark/>
          </w:tcPr>
          <w:p w14:paraId="6E4CE63F" w14:textId="77777777" w:rsidR="00E04ABD" w:rsidRPr="00721B07" w:rsidRDefault="00E04ABD" w:rsidP="00B0051B">
            <w:pPr>
              <w:jc w:val="right"/>
              <w:rPr>
                <w:rFonts w:ascii="Arial" w:hAnsi="Arial" w:cs="Arial"/>
                <w:color w:val="000000"/>
              </w:rPr>
            </w:pPr>
            <w:r w:rsidRPr="00721B07">
              <w:rPr>
                <w:rFonts w:ascii="Arial" w:hAnsi="Arial" w:cs="Arial"/>
                <w:color w:val="000000"/>
              </w:rPr>
              <w:t>0.716</w:t>
            </w:r>
          </w:p>
        </w:tc>
        <w:tc>
          <w:tcPr>
            <w:tcW w:w="1240" w:type="dxa"/>
            <w:tcBorders>
              <w:top w:val="nil"/>
              <w:left w:val="nil"/>
              <w:bottom w:val="single" w:sz="4" w:space="0" w:color="auto"/>
              <w:right w:val="single" w:sz="4" w:space="0" w:color="auto"/>
            </w:tcBorders>
            <w:shd w:val="clear" w:color="auto" w:fill="auto"/>
            <w:noWrap/>
            <w:vAlign w:val="bottom"/>
            <w:hideMark/>
          </w:tcPr>
          <w:p w14:paraId="1729DFB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62C20C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F0B80BE" w14:textId="77777777" w:rsidR="00E04ABD" w:rsidRPr="00721B07" w:rsidRDefault="00E04ABD" w:rsidP="00B0051B">
            <w:pPr>
              <w:rPr>
                <w:rFonts w:ascii="Arial" w:hAnsi="Arial" w:cs="Arial"/>
                <w:color w:val="000000"/>
              </w:rPr>
            </w:pPr>
            <w:r w:rsidRPr="00721B07">
              <w:rPr>
                <w:rFonts w:ascii="Arial" w:hAnsi="Arial" w:cs="Arial"/>
                <w:color w:val="000000"/>
              </w:rPr>
              <w:t>Orthotics/prosthetics</w:t>
            </w:r>
          </w:p>
        </w:tc>
        <w:tc>
          <w:tcPr>
            <w:tcW w:w="1457" w:type="dxa"/>
            <w:tcBorders>
              <w:top w:val="nil"/>
              <w:left w:val="nil"/>
              <w:bottom w:val="single" w:sz="4" w:space="0" w:color="auto"/>
              <w:right w:val="single" w:sz="4" w:space="0" w:color="auto"/>
            </w:tcBorders>
            <w:shd w:val="clear" w:color="auto" w:fill="auto"/>
            <w:noWrap/>
            <w:vAlign w:val="bottom"/>
            <w:hideMark/>
          </w:tcPr>
          <w:p w14:paraId="0756EA18" w14:textId="77777777" w:rsidR="00E04ABD" w:rsidRPr="00721B07" w:rsidRDefault="00E04ABD" w:rsidP="00B0051B">
            <w:pPr>
              <w:jc w:val="right"/>
              <w:rPr>
                <w:rFonts w:ascii="Arial" w:hAnsi="Arial" w:cs="Arial"/>
                <w:color w:val="000000"/>
              </w:rPr>
            </w:pPr>
            <w:r w:rsidRPr="00721B07">
              <w:rPr>
                <w:rFonts w:ascii="Arial" w:hAnsi="Arial" w:cs="Arial"/>
                <w:color w:val="000000"/>
              </w:rPr>
              <w:t>0.791</w:t>
            </w:r>
          </w:p>
        </w:tc>
        <w:tc>
          <w:tcPr>
            <w:tcW w:w="1240" w:type="dxa"/>
            <w:tcBorders>
              <w:top w:val="nil"/>
              <w:left w:val="nil"/>
              <w:bottom w:val="single" w:sz="4" w:space="0" w:color="auto"/>
              <w:right w:val="single" w:sz="4" w:space="0" w:color="auto"/>
            </w:tcBorders>
            <w:shd w:val="clear" w:color="auto" w:fill="auto"/>
            <w:noWrap/>
            <w:vAlign w:val="bottom"/>
            <w:hideMark/>
          </w:tcPr>
          <w:p w14:paraId="2C5F51DE" w14:textId="77777777" w:rsidR="00E04ABD" w:rsidRPr="00721B07" w:rsidRDefault="00E04ABD" w:rsidP="00B0051B">
            <w:pPr>
              <w:jc w:val="right"/>
              <w:rPr>
                <w:rFonts w:ascii="Arial" w:hAnsi="Arial" w:cs="Arial"/>
                <w:color w:val="000000"/>
              </w:rPr>
            </w:pPr>
            <w:r w:rsidRPr="00721B07">
              <w:rPr>
                <w:rFonts w:ascii="Arial" w:hAnsi="Arial" w:cs="Arial"/>
                <w:color w:val="000000"/>
              </w:rPr>
              <w:t>0.759</w:t>
            </w:r>
          </w:p>
        </w:tc>
        <w:tc>
          <w:tcPr>
            <w:tcW w:w="1240" w:type="dxa"/>
            <w:tcBorders>
              <w:top w:val="nil"/>
              <w:left w:val="nil"/>
              <w:bottom w:val="single" w:sz="4" w:space="0" w:color="auto"/>
              <w:right w:val="single" w:sz="4" w:space="0" w:color="auto"/>
            </w:tcBorders>
            <w:shd w:val="clear" w:color="auto" w:fill="auto"/>
            <w:noWrap/>
            <w:vAlign w:val="bottom"/>
            <w:hideMark/>
          </w:tcPr>
          <w:p w14:paraId="5FD47F7F" w14:textId="77777777" w:rsidR="00E04ABD" w:rsidRPr="00721B07" w:rsidRDefault="00E04ABD" w:rsidP="00B0051B">
            <w:pPr>
              <w:jc w:val="right"/>
              <w:rPr>
                <w:rFonts w:ascii="Arial" w:hAnsi="Arial" w:cs="Arial"/>
                <w:color w:val="000000"/>
              </w:rPr>
            </w:pPr>
            <w:r w:rsidRPr="00721B07">
              <w:rPr>
                <w:rFonts w:ascii="Arial" w:hAnsi="Arial" w:cs="Arial"/>
                <w:color w:val="000000"/>
              </w:rPr>
              <w:t>0.297</w:t>
            </w:r>
          </w:p>
        </w:tc>
      </w:tr>
      <w:tr w:rsidR="00E04ABD" w:rsidRPr="00721B07" w14:paraId="632F6EF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5F22C84" w14:textId="77777777" w:rsidR="00E04ABD" w:rsidRPr="00721B07" w:rsidRDefault="00E04ABD" w:rsidP="00B0051B">
            <w:pPr>
              <w:rPr>
                <w:rFonts w:ascii="Arial" w:hAnsi="Arial" w:cs="Arial"/>
                <w:color w:val="000000"/>
              </w:rPr>
            </w:pPr>
            <w:r w:rsidRPr="00721B07">
              <w:rPr>
                <w:rFonts w:ascii="Arial" w:hAnsi="Arial" w:cs="Arial"/>
                <w:color w:val="000000"/>
              </w:rPr>
              <w:t>Stage 2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06A27CAD" w14:textId="77777777" w:rsidR="00E04ABD" w:rsidRPr="00721B07" w:rsidRDefault="00E04ABD" w:rsidP="00B0051B">
            <w:pPr>
              <w:jc w:val="right"/>
              <w:rPr>
                <w:rFonts w:ascii="Arial" w:hAnsi="Arial" w:cs="Arial"/>
                <w:color w:val="000000"/>
              </w:rPr>
            </w:pPr>
            <w:r w:rsidRPr="00721B07">
              <w:rPr>
                <w:rFonts w:ascii="Arial" w:hAnsi="Arial" w:cs="Arial"/>
                <w:color w:val="000000"/>
              </w:rPr>
              <w:t>-0.311</w:t>
            </w:r>
          </w:p>
        </w:tc>
        <w:tc>
          <w:tcPr>
            <w:tcW w:w="1240" w:type="dxa"/>
            <w:tcBorders>
              <w:top w:val="nil"/>
              <w:left w:val="nil"/>
              <w:bottom w:val="single" w:sz="4" w:space="0" w:color="auto"/>
              <w:right w:val="single" w:sz="4" w:space="0" w:color="auto"/>
            </w:tcBorders>
            <w:shd w:val="clear" w:color="auto" w:fill="auto"/>
            <w:noWrap/>
            <w:vAlign w:val="bottom"/>
            <w:hideMark/>
          </w:tcPr>
          <w:p w14:paraId="2295BF95" w14:textId="77777777" w:rsidR="00E04ABD" w:rsidRPr="00721B07" w:rsidRDefault="00E04ABD" w:rsidP="00B0051B">
            <w:pPr>
              <w:jc w:val="right"/>
              <w:rPr>
                <w:rFonts w:ascii="Arial" w:hAnsi="Arial" w:cs="Arial"/>
                <w:color w:val="000000"/>
              </w:rPr>
            </w:pPr>
            <w:r w:rsidRPr="00721B07">
              <w:rPr>
                <w:rFonts w:ascii="Arial" w:hAnsi="Arial" w:cs="Arial"/>
                <w:color w:val="000000"/>
              </w:rPr>
              <w:t>0.399</w:t>
            </w:r>
          </w:p>
        </w:tc>
        <w:tc>
          <w:tcPr>
            <w:tcW w:w="1240" w:type="dxa"/>
            <w:tcBorders>
              <w:top w:val="nil"/>
              <w:left w:val="nil"/>
              <w:bottom w:val="single" w:sz="4" w:space="0" w:color="auto"/>
              <w:right w:val="single" w:sz="4" w:space="0" w:color="auto"/>
            </w:tcBorders>
            <w:shd w:val="clear" w:color="auto" w:fill="auto"/>
            <w:noWrap/>
            <w:vAlign w:val="bottom"/>
            <w:hideMark/>
          </w:tcPr>
          <w:p w14:paraId="65E37C96" w14:textId="77777777" w:rsidR="00E04ABD" w:rsidRPr="00721B07" w:rsidRDefault="00E04ABD" w:rsidP="00B0051B">
            <w:pPr>
              <w:jc w:val="right"/>
              <w:rPr>
                <w:rFonts w:ascii="Arial" w:hAnsi="Arial" w:cs="Arial"/>
                <w:color w:val="000000"/>
              </w:rPr>
            </w:pPr>
            <w:r w:rsidRPr="00721B07">
              <w:rPr>
                <w:rFonts w:ascii="Arial" w:hAnsi="Arial" w:cs="Arial"/>
                <w:color w:val="000000"/>
              </w:rPr>
              <w:t>0.436</w:t>
            </w:r>
          </w:p>
        </w:tc>
      </w:tr>
      <w:tr w:rsidR="00E04ABD" w:rsidRPr="00721B07" w14:paraId="2FA18674"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DBFF555" w14:textId="77777777" w:rsidR="00E04ABD" w:rsidRPr="00721B07" w:rsidRDefault="00E04ABD" w:rsidP="00B0051B">
            <w:pPr>
              <w:rPr>
                <w:rFonts w:ascii="Arial" w:hAnsi="Arial" w:cs="Arial"/>
                <w:color w:val="000000"/>
              </w:rPr>
            </w:pPr>
            <w:r w:rsidRPr="00721B07">
              <w:rPr>
                <w:rFonts w:ascii="Arial" w:hAnsi="Arial" w:cs="Arial"/>
                <w:color w:val="000000"/>
              </w:rPr>
              <w:t>Stage 3, 4 or unstageable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3833994B" w14:textId="77777777" w:rsidR="00E04ABD" w:rsidRPr="00721B07" w:rsidRDefault="00E04ABD" w:rsidP="00B0051B">
            <w:pPr>
              <w:jc w:val="right"/>
              <w:rPr>
                <w:rFonts w:ascii="Arial" w:hAnsi="Arial" w:cs="Arial"/>
                <w:color w:val="000000"/>
              </w:rPr>
            </w:pPr>
            <w:r w:rsidRPr="00721B07">
              <w:rPr>
                <w:rFonts w:ascii="Arial" w:hAnsi="Arial" w:cs="Arial"/>
                <w:color w:val="000000"/>
              </w:rPr>
              <w:t>-1.725</w:t>
            </w:r>
          </w:p>
        </w:tc>
        <w:tc>
          <w:tcPr>
            <w:tcW w:w="1240" w:type="dxa"/>
            <w:tcBorders>
              <w:top w:val="nil"/>
              <w:left w:val="nil"/>
              <w:bottom w:val="single" w:sz="4" w:space="0" w:color="auto"/>
              <w:right w:val="single" w:sz="4" w:space="0" w:color="auto"/>
            </w:tcBorders>
            <w:shd w:val="clear" w:color="auto" w:fill="auto"/>
            <w:noWrap/>
            <w:vAlign w:val="bottom"/>
            <w:hideMark/>
          </w:tcPr>
          <w:p w14:paraId="2E8C9CCD" w14:textId="77777777" w:rsidR="00E04ABD" w:rsidRPr="00721B07" w:rsidRDefault="00E04ABD" w:rsidP="00B0051B">
            <w:pPr>
              <w:jc w:val="right"/>
              <w:rPr>
                <w:rFonts w:ascii="Arial" w:hAnsi="Arial" w:cs="Arial"/>
                <w:color w:val="000000"/>
              </w:rPr>
            </w:pPr>
            <w:r w:rsidRPr="00721B07">
              <w:rPr>
                <w:rFonts w:ascii="Arial" w:hAnsi="Arial" w:cs="Arial"/>
                <w:color w:val="000000"/>
              </w:rPr>
              <w:t>0.563</w:t>
            </w:r>
          </w:p>
        </w:tc>
        <w:tc>
          <w:tcPr>
            <w:tcW w:w="1240" w:type="dxa"/>
            <w:tcBorders>
              <w:top w:val="nil"/>
              <w:left w:val="nil"/>
              <w:bottom w:val="single" w:sz="4" w:space="0" w:color="auto"/>
              <w:right w:val="single" w:sz="4" w:space="0" w:color="auto"/>
            </w:tcBorders>
            <w:shd w:val="clear" w:color="auto" w:fill="auto"/>
            <w:noWrap/>
            <w:vAlign w:val="bottom"/>
            <w:hideMark/>
          </w:tcPr>
          <w:p w14:paraId="6368340B"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r>
      <w:tr w:rsidR="00E04ABD" w:rsidRPr="00721B07" w14:paraId="551748E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2AFDEAA"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Moderately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0FFE0763"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c>
          <w:tcPr>
            <w:tcW w:w="1240" w:type="dxa"/>
            <w:tcBorders>
              <w:top w:val="nil"/>
              <w:left w:val="nil"/>
              <w:bottom w:val="single" w:sz="4" w:space="0" w:color="auto"/>
              <w:right w:val="single" w:sz="4" w:space="0" w:color="auto"/>
            </w:tcBorders>
            <w:shd w:val="clear" w:color="auto" w:fill="auto"/>
            <w:noWrap/>
            <w:vAlign w:val="bottom"/>
            <w:hideMark/>
          </w:tcPr>
          <w:p w14:paraId="1F6E1C76" w14:textId="77777777" w:rsidR="00E04ABD" w:rsidRPr="00721B07" w:rsidRDefault="00E04ABD" w:rsidP="00B0051B">
            <w:pPr>
              <w:jc w:val="right"/>
              <w:rPr>
                <w:rFonts w:ascii="Arial" w:hAnsi="Arial" w:cs="Arial"/>
                <w:color w:val="000000"/>
              </w:rPr>
            </w:pPr>
            <w:r w:rsidRPr="00721B07">
              <w:rPr>
                <w:rFonts w:ascii="Arial" w:hAnsi="Arial" w:cs="Arial"/>
                <w:color w:val="000000"/>
              </w:rPr>
              <w:t>0.213</w:t>
            </w:r>
          </w:p>
        </w:tc>
        <w:tc>
          <w:tcPr>
            <w:tcW w:w="1240" w:type="dxa"/>
            <w:tcBorders>
              <w:top w:val="nil"/>
              <w:left w:val="nil"/>
              <w:bottom w:val="single" w:sz="4" w:space="0" w:color="auto"/>
              <w:right w:val="single" w:sz="4" w:space="0" w:color="auto"/>
            </w:tcBorders>
            <w:shd w:val="clear" w:color="auto" w:fill="auto"/>
            <w:noWrap/>
            <w:vAlign w:val="bottom"/>
            <w:hideMark/>
          </w:tcPr>
          <w:p w14:paraId="5E4696E2" w14:textId="77777777" w:rsidR="00E04ABD" w:rsidRPr="00721B07" w:rsidRDefault="00E04ABD" w:rsidP="00B0051B">
            <w:pPr>
              <w:jc w:val="right"/>
              <w:rPr>
                <w:rFonts w:ascii="Arial" w:hAnsi="Arial" w:cs="Arial"/>
                <w:color w:val="000000"/>
              </w:rPr>
            </w:pPr>
            <w:r w:rsidRPr="00721B07">
              <w:rPr>
                <w:rFonts w:ascii="Arial" w:hAnsi="Arial" w:cs="Arial"/>
                <w:color w:val="000000"/>
              </w:rPr>
              <w:t>0.993</w:t>
            </w:r>
          </w:p>
        </w:tc>
      </w:tr>
      <w:tr w:rsidR="00E04ABD" w:rsidRPr="00721B07" w14:paraId="73E0D43A"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9546F80"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Severely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37467A6F" w14:textId="77777777" w:rsidR="00E04ABD" w:rsidRPr="00721B07" w:rsidRDefault="00E04ABD" w:rsidP="00B0051B">
            <w:pPr>
              <w:jc w:val="right"/>
              <w:rPr>
                <w:rFonts w:ascii="Arial" w:hAnsi="Arial" w:cs="Arial"/>
                <w:color w:val="000000"/>
              </w:rPr>
            </w:pPr>
            <w:r w:rsidRPr="00721B07">
              <w:rPr>
                <w:rFonts w:ascii="Arial" w:hAnsi="Arial" w:cs="Arial"/>
                <w:color w:val="000000"/>
              </w:rPr>
              <w:t>-0.338</w:t>
            </w:r>
          </w:p>
        </w:tc>
        <w:tc>
          <w:tcPr>
            <w:tcW w:w="1240" w:type="dxa"/>
            <w:tcBorders>
              <w:top w:val="nil"/>
              <w:left w:val="nil"/>
              <w:bottom w:val="single" w:sz="4" w:space="0" w:color="auto"/>
              <w:right w:val="single" w:sz="4" w:space="0" w:color="auto"/>
            </w:tcBorders>
            <w:shd w:val="clear" w:color="auto" w:fill="auto"/>
            <w:noWrap/>
            <w:vAlign w:val="bottom"/>
            <w:hideMark/>
          </w:tcPr>
          <w:p w14:paraId="25D3D4C2" w14:textId="77777777" w:rsidR="00E04ABD" w:rsidRPr="00721B07" w:rsidRDefault="00E04ABD" w:rsidP="00B0051B">
            <w:pPr>
              <w:jc w:val="right"/>
              <w:rPr>
                <w:rFonts w:ascii="Arial" w:hAnsi="Arial" w:cs="Arial"/>
                <w:color w:val="000000"/>
              </w:rPr>
            </w:pPr>
            <w:r w:rsidRPr="00721B07">
              <w:rPr>
                <w:rFonts w:ascii="Arial" w:hAnsi="Arial" w:cs="Arial"/>
                <w:color w:val="000000"/>
              </w:rPr>
              <w:t>0.232</w:t>
            </w:r>
          </w:p>
        </w:tc>
        <w:tc>
          <w:tcPr>
            <w:tcW w:w="1240" w:type="dxa"/>
            <w:tcBorders>
              <w:top w:val="nil"/>
              <w:left w:val="nil"/>
              <w:bottom w:val="single" w:sz="4" w:space="0" w:color="auto"/>
              <w:right w:val="single" w:sz="4" w:space="0" w:color="auto"/>
            </w:tcBorders>
            <w:shd w:val="clear" w:color="auto" w:fill="auto"/>
            <w:noWrap/>
            <w:vAlign w:val="bottom"/>
            <w:hideMark/>
          </w:tcPr>
          <w:p w14:paraId="4A95E78C" w14:textId="77777777" w:rsidR="00E04ABD" w:rsidRPr="00721B07" w:rsidRDefault="00E04ABD" w:rsidP="00B0051B">
            <w:pPr>
              <w:jc w:val="right"/>
              <w:rPr>
                <w:rFonts w:ascii="Arial" w:hAnsi="Arial" w:cs="Arial"/>
                <w:color w:val="000000"/>
              </w:rPr>
            </w:pPr>
            <w:r w:rsidRPr="00721B07">
              <w:rPr>
                <w:rFonts w:ascii="Arial" w:hAnsi="Arial" w:cs="Arial"/>
                <w:color w:val="000000"/>
              </w:rPr>
              <w:t>0.145</w:t>
            </w:r>
          </w:p>
        </w:tc>
      </w:tr>
      <w:tr w:rsidR="00E04ABD" w:rsidRPr="00721B07" w14:paraId="6D527E1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33AA444" w14:textId="77777777" w:rsidR="00E04ABD" w:rsidRPr="00721B07" w:rsidRDefault="00E04ABD" w:rsidP="00B0051B">
            <w:pPr>
              <w:rPr>
                <w:rFonts w:ascii="Arial" w:hAnsi="Arial" w:cs="Arial"/>
                <w:color w:val="000000"/>
              </w:rPr>
            </w:pPr>
            <w:r w:rsidRPr="00721B07">
              <w:rPr>
                <w:rFonts w:ascii="Arial" w:hAnsi="Arial" w:cs="Arial"/>
                <w:color w:val="000000"/>
              </w:rPr>
              <w:t>Communication impairment - Moderate to severe</w:t>
            </w:r>
          </w:p>
        </w:tc>
        <w:tc>
          <w:tcPr>
            <w:tcW w:w="1457" w:type="dxa"/>
            <w:tcBorders>
              <w:top w:val="nil"/>
              <w:left w:val="nil"/>
              <w:bottom w:val="single" w:sz="4" w:space="0" w:color="auto"/>
              <w:right w:val="single" w:sz="4" w:space="0" w:color="auto"/>
            </w:tcBorders>
            <w:shd w:val="clear" w:color="auto" w:fill="auto"/>
            <w:noWrap/>
            <w:vAlign w:val="bottom"/>
            <w:hideMark/>
          </w:tcPr>
          <w:p w14:paraId="4BBC8D75" w14:textId="77777777" w:rsidR="00E04ABD" w:rsidRPr="00721B07" w:rsidRDefault="00E04ABD" w:rsidP="00B0051B">
            <w:pPr>
              <w:jc w:val="right"/>
              <w:rPr>
                <w:rFonts w:ascii="Arial" w:hAnsi="Arial" w:cs="Arial"/>
                <w:color w:val="000000"/>
              </w:rPr>
            </w:pPr>
            <w:r w:rsidRPr="00721B07">
              <w:rPr>
                <w:rFonts w:ascii="Arial" w:hAnsi="Arial" w:cs="Arial"/>
                <w:color w:val="000000"/>
              </w:rPr>
              <w:t>-1.397</w:t>
            </w:r>
          </w:p>
        </w:tc>
        <w:tc>
          <w:tcPr>
            <w:tcW w:w="1240" w:type="dxa"/>
            <w:tcBorders>
              <w:top w:val="nil"/>
              <w:left w:val="nil"/>
              <w:bottom w:val="single" w:sz="4" w:space="0" w:color="auto"/>
              <w:right w:val="single" w:sz="4" w:space="0" w:color="auto"/>
            </w:tcBorders>
            <w:shd w:val="clear" w:color="auto" w:fill="auto"/>
            <w:noWrap/>
            <w:vAlign w:val="bottom"/>
            <w:hideMark/>
          </w:tcPr>
          <w:p w14:paraId="1B8BA9A8" w14:textId="77777777" w:rsidR="00E04ABD" w:rsidRPr="00721B07" w:rsidRDefault="00E04ABD" w:rsidP="00B0051B">
            <w:pPr>
              <w:jc w:val="right"/>
              <w:rPr>
                <w:rFonts w:ascii="Arial" w:hAnsi="Arial" w:cs="Arial"/>
                <w:color w:val="000000"/>
              </w:rPr>
            </w:pPr>
            <w:r w:rsidRPr="00721B07">
              <w:rPr>
                <w:rFonts w:ascii="Arial" w:hAnsi="Arial" w:cs="Arial"/>
                <w:color w:val="000000"/>
              </w:rPr>
              <w:t>0.373</w:t>
            </w:r>
          </w:p>
        </w:tc>
        <w:tc>
          <w:tcPr>
            <w:tcW w:w="1240" w:type="dxa"/>
            <w:tcBorders>
              <w:top w:val="nil"/>
              <w:left w:val="nil"/>
              <w:bottom w:val="single" w:sz="4" w:space="0" w:color="auto"/>
              <w:right w:val="single" w:sz="4" w:space="0" w:color="auto"/>
            </w:tcBorders>
            <w:shd w:val="clear" w:color="auto" w:fill="auto"/>
            <w:noWrap/>
            <w:vAlign w:val="bottom"/>
            <w:hideMark/>
          </w:tcPr>
          <w:p w14:paraId="57F857F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9526823"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10BBDB0D" w14:textId="77777777" w:rsidR="00E04ABD" w:rsidRPr="00721B07" w:rsidRDefault="00E04ABD" w:rsidP="00B0051B">
            <w:pPr>
              <w:rPr>
                <w:rFonts w:ascii="Arial" w:hAnsi="Arial" w:cs="Arial"/>
                <w:color w:val="000000"/>
              </w:rPr>
            </w:pPr>
            <w:r w:rsidRPr="00721B07">
              <w:rPr>
                <w:rFonts w:ascii="Arial" w:hAnsi="Arial" w:cs="Arial"/>
                <w:color w:val="000000"/>
              </w:rPr>
              <w:t>Bladder incontinence - Less than daily, daily,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11CF3919" w14:textId="77777777" w:rsidR="00E04ABD" w:rsidRPr="00721B07" w:rsidRDefault="00E04ABD" w:rsidP="00B0051B">
            <w:pPr>
              <w:jc w:val="right"/>
              <w:rPr>
                <w:rFonts w:ascii="Arial" w:hAnsi="Arial" w:cs="Arial"/>
                <w:color w:val="000000"/>
              </w:rPr>
            </w:pPr>
            <w:r w:rsidRPr="00721B07">
              <w:rPr>
                <w:rFonts w:ascii="Arial" w:hAnsi="Arial" w:cs="Arial"/>
                <w:color w:val="000000"/>
              </w:rPr>
              <w:t>-0.574</w:t>
            </w:r>
          </w:p>
        </w:tc>
        <w:tc>
          <w:tcPr>
            <w:tcW w:w="1240" w:type="dxa"/>
            <w:tcBorders>
              <w:top w:val="nil"/>
              <w:left w:val="nil"/>
              <w:bottom w:val="single" w:sz="4" w:space="0" w:color="auto"/>
              <w:right w:val="single" w:sz="4" w:space="0" w:color="auto"/>
            </w:tcBorders>
            <w:shd w:val="clear" w:color="auto" w:fill="auto"/>
            <w:noWrap/>
            <w:vAlign w:val="bottom"/>
            <w:hideMark/>
          </w:tcPr>
          <w:p w14:paraId="55CE3079" w14:textId="77777777" w:rsidR="00E04ABD" w:rsidRPr="00721B07" w:rsidRDefault="00E04ABD" w:rsidP="00B0051B">
            <w:pPr>
              <w:jc w:val="right"/>
              <w:rPr>
                <w:rFonts w:ascii="Arial" w:hAnsi="Arial" w:cs="Arial"/>
                <w:color w:val="000000"/>
              </w:rPr>
            </w:pPr>
            <w:r w:rsidRPr="00721B07">
              <w:rPr>
                <w:rFonts w:ascii="Arial" w:hAnsi="Arial" w:cs="Arial"/>
                <w:color w:val="000000"/>
              </w:rPr>
              <w:t>0.226</w:t>
            </w:r>
          </w:p>
        </w:tc>
        <w:tc>
          <w:tcPr>
            <w:tcW w:w="1240" w:type="dxa"/>
            <w:tcBorders>
              <w:top w:val="nil"/>
              <w:left w:val="nil"/>
              <w:bottom w:val="single" w:sz="4" w:space="0" w:color="auto"/>
              <w:right w:val="single" w:sz="4" w:space="0" w:color="auto"/>
            </w:tcBorders>
            <w:shd w:val="clear" w:color="auto" w:fill="auto"/>
            <w:noWrap/>
            <w:vAlign w:val="bottom"/>
            <w:hideMark/>
          </w:tcPr>
          <w:p w14:paraId="62267B3B" w14:textId="77777777" w:rsidR="00E04ABD" w:rsidRPr="00721B07" w:rsidRDefault="00E04ABD" w:rsidP="00B0051B">
            <w:pPr>
              <w:jc w:val="right"/>
              <w:rPr>
                <w:rFonts w:ascii="Arial" w:hAnsi="Arial" w:cs="Arial"/>
                <w:color w:val="000000"/>
              </w:rPr>
            </w:pPr>
            <w:r w:rsidRPr="00721B07">
              <w:rPr>
                <w:rFonts w:ascii="Arial" w:hAnsi="Arial" w:cs="Arial"/>
                <w:color w:val="000000"/>
              </w:rPr>
              <w:t>0.011</w:t>
            </w:r>
          </w:p>
        </w:tc>
      </w:tr>
      <w:tr w:rsidR="00E04ABD" w:rsidRPr="00721B07" w14:paraId="18243F31"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9720185" w14:textId="77777777" w:rsidR="00E04ABD" w:rsidRPr="00721B07" w:rsidRDefault="00E04ABD" w:rsidP="00B0051B">
            <w:pPr>
              <w:rPr>
                <w:rFonts w:ascii="Arial" w:hAnsi="Arial" w:cs="Arial"/>
                <w:color w:val="000000"/>
              </w:rPr>
            </w:pPr>
            <w:r w:rsidRPr="00721B07">
              <w:rPr>
                <w:rFonts w:ascii="Arial" w:hAnsi="Arial" w:cs="Arial"/>
                <w:color w:val="000000"/>
              </w:rPr>
              <w:t>Bladder incontinence - Urinary catheter</w:t>
            </w:r>
          </w:p>
        </w:tc>
        <w:tc>
          <w:tcPr>
            <w:tcW w:w="1457" w:type="dxa"/>
            <w:tcBorders>
              <w:top w:val="nil"/>
              <w:left w:val="nil"/>
              <w:bottom w:val="single" w:sz="4" w:space="0" w:color="auto"/>
              <w:right w:val="single" w:sz="4" w:space="0" w:color="auto"/>
            </w:tcBorders>
            <w:shd w:val="clear" w:color="auto" w:fill="auto"/>
            <w:noWrap/>
            <w:vAlign w:val="bottom"/>
            <w:hideMark/>
          </w:tcPr>
          <w:p w14:paraId="55B1406E" w14:textId="77777777" w:rsidR="00E04ABD" w:rsidRPr="00721B07" w:rsidRDefault="00E04ABD" w:rsidP="00B0051B">
            <w:pPr>
              <w:jc w:val="right"/>
              <w:rPr>
                <w:rFonts w:ascii="Arial" w:hAnsi="Arial" w:cs="Arial"/>
                <w:color w:val="000000"/>
              </w:rPr>
            </w:pPr>
            <w:r w:rsidRPr="00721B07">
              <w:rPr>
                <w:rFonts w:ascii="Arial" w:hAnsi="Arial" w:cs="Arial"/>
                <w:color w:val="000000"/>
              </w:rPr>
              <w:t>-1.866</w:t>
            </w:r>
          </w:p>
        </w:tc>
        <w:tc>
          <w:tcPr>
            <w:tcW w:w="1240" w:type="dxa"/>
            <w:tcBorders>
              <w:top w:val="nil"/>
              <w:left w:val="nil"/>
              <w:bottom w:val="single" w:sz="4" w:space="0" w:color="auto"/>
              <w:right w:val="single" w:sz="4" w:space="0" w:color="auto"/>
            </w:tcBorders>
            <w:shd w:val="clear" w:color="auto" w:fill="auto"/>
            <w:noWrap/>
            <w:vAlign w:val="bottom"/>
            <w:hideMark/>
          </w:tcPr>
          <w:p w14:paraId="0C019222" w14:textId="77777777" w:rsidR="00E04ABD" w:rsidRPr="00721B07" w:rsidRDefault="00E04ABD" w:rsidP="00B0051B">
            <w:pPr>
              <w:jc w:val="right"/>
              <w:rPr>
                <w:rFonts w:ascii="Arial" w:hAnsi="Arial" w:cs="Arial"/>
                <w:color w:val="000000"/>
              </w:rPr>
            </w:pPr>
            <w:r w:rsidRPr="00721B07">
              <w:rPr>
                <w:rFonts w:ascii="Arial" w:hAnsi="Arial" w:cs="Arial"/>
                <w:color w:val="000000"/>
              </w:rPr>
              <w:t>0.442</w:t>
            </w:r>
          </w:p>
        </w:tc>
        <w:tc>
          <w:tcPr>
            <w:tcW w:w="1240" w:type="dxa"/>
            <w:tcBorders>
              <w:top w:val="nil"/>
              <w:left w:val="nil"/>
              <w:bottom w:val="single" w:sz="4" w:space="0" w:color="auto"/>
              <w:right w:val="single" w:sz="4" w:space="0" w:color="auto"/>
            </w:tcBorders>
            <w:shd w:val="clear" w:color="auto" w:fill="auto"/>
            <w:noWrap/>
            <w:vAlign w:val="bottom"/>
            <w:hideMark/>
          </w:tcPr>
          <w:p w14:paraId="334FD17C"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0CBA0FE"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198F6AB" w14:textId="77777777" w:rsidR="00E04ABD" w:rsidRPr="00721B07" w:rsidRDefault="00E04ABD" w:rsidP="00B0051B">
            <w:pPr>
              <w:rPr>
                <w:rFonts w:ascii="Arial" w:hAnsi="Arial" w:cs="Arial"/>
                <w:color w:val="000000"/>
              </w:rPr>
            </w:pPr>
            <w:r w:rsidRPr="00721B07">
              <w:rPr>
                <w:rFonts w:ascii="Arial" w:hAnsi="Arial" w:cs="Arial"/>
                <w:color w:val="000000"/>
              </w:rPr>
              <w:t>Bowel incontinence -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243BDCFB" w14:textId="77777777" w:rsidR="00E04ABD" w:rsidRPr="00721B07" w:rsidRDefault="00E04ABD" w:rsidP="00B0051B">
            <w:pPr>
              <w:jc w:val="right"/>
              <w:rPr>
                <w:rFonts w:ascii="Arial" w:hAnsi="Arial" w:cs="Arial"/>
                <w:color w:val="000000"/>
              </w:rPr>
            </w:pPr>
            <w:r w:rsidRPr="00721B07">
              <w:rPr>
                <w:rFonts w:ascii="Arial" w:hAnsi="Arial" w:cs="Arial"/>
                <w:color w:val="000000"/>
              </w:rPr>
              <w:t>-2.108</w:t>
            </w:r>
          </w:p>
        </w:tc>
        <w:tc>
          <w:tcPr>
            <w:tcW w:w="1240" w:type="dxa"/>
            <w:tcBorders>
              <w:top w:val="nil"/>
              <w:left w:val="nil"/>
              <w:bottom w:val="single" w:sz="4" w:space="0" w:color="auto"/>
              <w:right w:val="single" w:sz="4" w:space="0" w:color="auto"/>
            </w:tcBorders>
            <w:shd w:val="clear" w:color="auto" w:fill="auto"/>
            <w:noWrap/>
            <w:vAlign w:val="bottom"/>
            <w:hideMark/>
          </w:tcPr>
          <w:p w14:paraId="27996160" w14:textId="77777777" w:rsidR="00E04ABD" w:rsidRPr="00721B07" w:rsidRDefault="00E04ABD" w:rsidP="00B0051B">
            <w:pPr>
              <w:jc w:val="right"/>
              <w:rPr>
                <w:rFonts w:ascii="Arial" w:hAnsi="Arial" w:cs="Arial"/>
                <w:color w:val="000000"/>
              </w:rPr>
            </w:pPr>
            <w:r w:rsidRPr="00721B07">
              <w:rPr>
                <w:rFonts w:ascii="Arial" w:hAnsi="Arial" w:cs="Arial"/>
                <w:color w:val="000000"/>
              </w:rPr>
              <w:t>0.505</w:t>
            </w:r>
          </w:p>
        </w:tc>
        <w:tc>
          <w:tcPr>
            <w:tcW w:w="1240" w:type="dxa"/>
            <w:tcBorders>
              <w:top w:val="nil"/>
              <w:left w:val="nil"/>
              <w:bottom w:val="single" w:sz="4" w:space="0" w:color="auto"/>
              <w:right w:val="single" w:sz="4" w:space="0" w:color="auto"/>
            </w:tcBorders>
            <w:shd w:val="clear" w:color="auto" w:fill="auto"/>
            <w:noWrap/>
            <w:vAlign w:val="bottom"/>
            <w:hideMark/>
          </w:tcPr>
          <w:p w14:paraId="423971B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4BB4A9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EEBF643" w14:textId="14A8058A" w:rsidR="00E04ABD" w:rsidRPr="00721B07" w:rsidRDefault="00E04ABD" w:rsidP="00DB0C20">
            <w:pPr>
              <w:rPr>
                <w:rFonts w:ascii="Arial" w:hAnsi="Arial" w:cs="Arial"/>
                <w:color w:val="000000"/>
              </w:rPr>
            </w:pPr>
            <w:r w:rsidRPr="00721B07">
              <w:rPr>
                <w:rFonts w:ascii="Arial" w:hAnsi="Arial" w:cs="Arial"/>
                <w:color w:val="000000"/>
              </w:rPr>
              <w:t>Bowel incontinence - Less than daily</w:t>
            </w:r>
          </w:p>
        </w:tc>
        <w:tc>
          <w:tcPr>
            <w:tcW w:w="1457" w:type="dxa"/>
            <w:tcBorders>
              <w:top w:val="nil"/>
              <w:left w:val="nil"/>
              <w:bottom w:val="single" w:sz="4" w:space="0" w:color="auto"/>
              <w:right w:val="single" w:sz="4" w:space="0" w:color="auto"/>
            </w:tcBorders>
            <w:shd w:val="clear" w:color="auto" w:fill="auto"/>
            <w:noWrap/>
            <w:vAlign w:val="bottom"/>
            <w:hideMark/>
          </w:tcPr>
          <w:p w14:paraId="0D530E7B" w14:textId="77777777" w:rsidR="00E04ABD" w:rsidRPr="00721B07" w:rsidRDefault="00E04ABD" w:rsidP="00B0051B">
            <w:pPr>
              <w:jc w:val="right"/>
              <w:rPr>
                <w:rFonts w:ascii="Arial" w:hAnsi="Arial" w:cs="Arial"/>
                <w:color w:val="000000"/>
              </w:rPr>
            </w:pPr>
            <w:r w:rsidRPr="00721B07">
              <w:rPr>
                <w:rFonts w:ascii="Arial" w:hAnsi="Arial" w:cs="Arial"/>
                <w:color w:val="000000"/>
              </w:rPr>
              <w:t>-0.754</w:t>
            </w:r>
          </w:p>
        </w:tc>
        <w:tc>
          <w:tcPr>
            <w:tcW w:w="1240" w:type="dxa"/>
            <w:tcBorders>
              <w:top w:val="nil"/>
              <w:left w:val="nil"/>
              <w:bottom w:val="single" w:sz="4" w:space="0" w:color="auto"/>
              <w:right w:val="single" w:sz="4" w:space="0" w:color="auto"/>
            </w:tcBorders>
            <w:shd w:val="clear" w:color="auto" w:fill="auto"/>
            <w:noWrap/>
            <w:vAlign w:val="bottom"/>
            <w:hideMark/>
          </w:tcPr>
          <w:p w14:paraId="465F499E" w14:textId="77777777" w:rsidR="00E04ABD" w:rsidRPr="00721B07" w:rsidRDefault="00E04ABD" w:rsidP="00B0051B">
            <w:pPr>
              <w:jc w:val="right"/>
              <w:rPr>
                <w:rFonts w:ascii="Arial" w:hAnsi="Arial" w:cs="Arial"/>
                <w:color w:val="000000"/>
              </w:rPr>
            </w:pPr>
            <w:r w:rsidRPr="00721B07">
              <w:rPr>
                <w:rFonts w:ascii="Arial" w:hAnsi="Arial" w:cs="Arial"/>
                <w:color w:val="000000"/>
              </w:rPr>
              <w:t>0.254</w:t>
            </w:r>
          </w:p>
        </w:tc>
        <w:tc>
          <w:tcPr>
            <w:tcW w:w="1240" w:type="dxa"/>
            <w:tcBorders>
              <w:top w:val="nil"/>
              <w:left w:val="nil"/>
              <w:bottom w:val="single" w:sz="4" w:space="0" w:color="auto"/>
              <w:right w:val="single" w:sz="4" w:space="0" w:color="auto"/>
            </w:tcBorders>
            <w:shd w:val="clear" w:color="auto" w:fill="auto"/>
            <w:noWrap/>
            <w:vAlign w:val="bottom"/>
            <w:hideMark/>
          </w:tcPr>
          <w:p w14:paraId="5098106F" w14:textId="77777777" w:rsidR="00E04ABD" w:rsidRPr="00721B07" w:rsidRDefault="00E04ABD" w:rsidP="00B0051B">
            <w:pPr>
              <w:jc w:val="right"/>
              <w:rPr>
                <w:rFonts w:ascii="Arial" w:hAnsi="Arial" w:cs="Arial"/>
                <w:color w:val="000000"/>
              </w:rPr>
            </w:pPr>
            <w:r w:rsidRPr="00721B07">
              <w:rPr>
                <w:rFonts w:ascii="Arial" w:hAnsi="Arial" w:cs="Arial"/>
                <w:color w:val="000000"/>
              </w:rPr>
              <w:t>0.003</w:t>
            </w:r>
          </w:p>
        </w:tc>
      </w:tr>
      <w:tr w:rsidR="00E04ABD" w:rsidRPr="00721B07" w14:paraId="7C25230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0295BA5" w14:textId="77777777" w:rsidR="00E04ABD" w:rsidRPr="00721B07" w:rsidRDefault="00E04ABD" w:rsidP="00B0051B">
            <w:pPr>
              <w:rPr>
                <w:rFonts w:ascii="Arial" w:hAnsi="Arial" w:cs="Arial"/>
                <w:color w:val="000000"/>
              </w:rPr>
            </w:pPr>
            <w:r w:rsidRPr="00721B07">
              <w:rPr>
                <w:rFonts w:ascii="Arial" w:hAnsi="Arial" w:cs="Arial"/>
                <w:color w:val="000000"/>
              </w:rPr>
              <w:t>Tube/Parenteral Feeding</w:t>
            </w:r>
          </w:p>
        </w:tc>
        <w:tc>
          <w:tcPr>
            <w:tcW w:w="1457" w:type="dxa"/>
            <w:tcBorders>
              <w:top w:val="nil"/>
              <w:left w:val="nil"/>
              <w:bottom w:val="single" w:sz="4" w:space="0" w:color="auto"/>
              <w:right w:val="single" w:sz="4" w:space="0" w:color="auto"/>
            </w:tcBorders>
            <w:shd w:val="clear" w:color="auto" w:fill="auto"/>
            <w:noWrap/>
            <w:vAlign w:val="bottom"/>
            <w:hideMark/>
          </w:tcPr>
          <w:p w14:paraId="5DADAC38" w14:textId="77777777" w:rsidR="00E04ABD" w:rsidRPr="00721B07" w:rsidRDefault="00E04ABD" w:rsidP="00B0051B">
            <w:pPr>
              <w:jc w:val="right"/>
              <w:rPr>
                <w:rFonts w:ascii="Arial" w:hAnsi="Arial" w:cs="Arial"/>
                <w:color w:val="000000"/>
              </w:rPr>
            </w:pPr>
            <w:r w:rsidRPr="00721B07">
              <w:rPr>
                <w:rFonts w:ascii="Arial" w:hAnsi="Arial" w:cs="Arial"/>
                <w:color w:val="000000"/>
              </w:rPr>
              <w:t>-3.205</w:t>
            </w:r>
          </w:p>
        </w:tc>
        <w:tc>
          <w:tcPr>
            <w:tcW w:w="1240" w:type="dxa"/>
            <w:tcBorders>
              <w:top w:val="nil"/>
              <w:left w:val="nil"/>
              <w:bottom w:val="single" w:sz="4" w:space="0" w:color="auto"/>
              <w:right w:val="single" w:sz="4" w:space="0" w:color="auto"/>
            </w:tcBorders>
            <w:shd w:val="clear" w:color="auto" w:fill="auto"/>
            <w:noWrap/>
            <w:vAlign w:val="bottom"/>
            <w:hideMark/>
          </w:tcPr>
          <w:p w14:paraId="6AB4D408" w14:textId="77777777" w:rsidR="00E04ABD" w:rsidRPr="00721B07" w:rsidRDefault="00E04ABD" w:rsidP="00B0051B">
            <w:pPr>
              <w:jc w:val="right"/>
              <w:rPr>
                <w:rFonts w:ascii="Arial" w:hAnsi="Arial" w:cs="Arial"/>
                <w:color w:val="000000"/>
              </w:rPr>
            </w:pPr>
            <w:r w:rsidRPr="00721B07">
              <w:rPr>
                <w:rFonts w:ascii="Arial" w:hAnsi="Arial" w:cs="Arial"/>
                <w:color w:val="000000"/>
              </w:rPr>
              <w:t>0.913</w:t>
            </w:r>
          </w:p>
        </w:tc>
        <w:tc>
          <w:tcPr>
            <w:tcW w:w="1240" w:type="dxa"/>
            <w:tcBorders>
              <w:top w:val="nil"/>
              <w:left w:val="nil"/>
              <w:bottom w:val="single" w:sz="4" w:space="0" w:color="auto"/>
              <w:right w:val="single" w:sz="4" w:space="0" w:color="auto"/>
            </w:tcBorders>
            <w:shd w:val="clear" w:color="auto" w:fill="auto"/>
            <w:noWrap/>
            <w:vAlign w:val="bottom"/>
            <w:hideMark/>
          </w:tcPr>
          <w:p w14:paraId="36372221"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A244F03"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37BEAC79" w14:textId="77777777" w:rsidR="00E04ABD" w:rsidRPr="00721B07" w:rsidRDefault="00E04ABD" w:rsidP="00B0051B">
            <w:pPr>
              <w:rPr>
                <w:rFonts w:ascii="Arial" w:hAnsi="Arial" w:cs="Arial"/>
                <w:color w:val="000000"/>
              </w:rPr>
            </w:pPr>
            <w:r w:rsidRPr="00721B07">
              <w:rPr>
                <w:rFonts w:ascii="Arial" w:hAnsi="Arial" w:cs="Arial"/>
                <w:color w:val="000000"/>
              </w:rPr>
              <w:t>Comorbidity: Major infections</w:t>
            </w:r>
          </w:p>
        </w:tc>
        <w:tc>
          <w:tcPr>
            <w:tcW w:w="1457" w:type="dxa"/>
            <w:tcBorders>
              <w:top w:val="nil"/>
              <w:left w:val="nil"/>
              <w:bottom w:val="single" w:sz="4" w:space="0" w:color="auto"/>
              <w:right w:val="single" w:sz="4" w:space="0" w:color="auto"/>
            </w:tcBorders>
            <w:shd w:val="clear" w:color="auto" w:fill="auto"/>
            <w:noWrap/>
            <w:vAlign w:val="bottom"/>
            <w:hideMark/>
          </w:tcPr>
          <w:p w14:paraId="28EB7673" w14:textId="77777777" w:rsidR="00E04ABD" w:rsidRPr="00721B07" w:rsidRDefault="00E04ABD" w:rsidP="00B0051B">
            <w:pPr>
              <w:jc w:val="right"/>
              <w:rPr>
                <w:rFonts w:ascii="Arial" w:hAnsi="Arial" w:cs="Arial"/>
                <w:color w:val="000000"/>
              </w:rPr>
            </w:pPr>
            <w:r w:rsidRPr="00721B07">
              <w:rPr>
                <w:rFonts w:ascii="Arial" w:hAnsi="Arial" w:cs="Arial"/>
                <w:color w:val="000000"/>
              </w:rPr>
              <w:t>-0.135</w:t>
            </w:r>
          </w:p>
        </w:tc>
        <w:tc>
          <w:tcPr>
            <w:tcW w:w="1240" w:type="dxa"/>
            <w:tcBorders>
              <w:top w:val="nil"/>
              <w:left w:val="nil"/>
              <w:bottom w:val="single" w:sz="4" w:space="0" w:color="auto"/>
              <w:right w:val="single" w:sz="4" w:space="0" w:color="auto"/>
            </w:tcBorders>
            <w:shd w:val="clear" w:color="auto" w:fill="auto"/>
            <w:noWrap/>
            <w:vAlign w:val="bottom"/>
            <w:hideMark/>
          </w:tcPr>
          <w:p w14:paraId="6C2BE11B" w14:textId="77777777" w:rsidR="00E04ABD" w:rsidRPr="00721B07" w:rsidRDefault="00E04ABD" w:rsidP="00B0051B">
            <w:pPr>
              <w:jc w:val="right"/>
              <w:rPr>
                <w:rFonts w:ascii="Arial" w:hAnsi="Arial" w:cs="Arial"/>
                <w:color w:val="000000"/>
              </w:rPr>
            </w:pPr>
            <w:r w:rsidRPr="00721B07">
              <w:rPr>
                <w:rFonts w:ascii="Arial" w:hAnsi="Arial" w:cs="Arial"/>
                <w:color w:val="000000"/>
              </w:rPr>
              <w:t>0.236</w:t>
            </w:r>
          </w:p>
        </w:tc>
        <w:tc>
          <w:tcPr>
            <w:tcW w:w="1240" w:type="dxa"/>
            <w:tcBorders>
              <w:top w:val="nil"/>
              <w:left w:val="nil"/>
              <w:bottom w:val="single" w:sz="4" w:space="0" w:color="auto"/>
              <w:right w:val="single" w:sz="4" w:space="0" w:color="auto"/>
            </w:tcBorders>
            <w:shd w:val="clear" w:color="auto" w:fill="auto"/>
            <w:noWrap/>
            <w:vAlign w:val="bottom"/>
            <w:hideMark/>
          </w:tcPr>
          <w:p w14:paraId="6A67C603" w14:textId="77777777" w:rsidR="00E04ABD" w:rsidRPr="00721B07" w:rsidRDefault="00E04ABD" w:rsidP="00B0051B">
            <w:pPr>
              <w:jc w:val="right"/>
              <w:rPr>
                <w:rFonts w:ascii="Arial" w:hAnsi="Arial" w:cs="Arial"/>
                <w:color w:val="000000"/>
              </w:rPr>
            </w:pPr>
            <w:r w:rsidRPr="00721B07">
              <w:rPr>
                <w:rFonts w:ascii="Arial" w:hAnsi="Arial" w:cs="Arial"/>
                <w:color w:val="000000"/>
              </w:rPr>
              <w:t>0.567</w:t>
            </w:r>
          </w:p>
        </w:tc>
      </w:tr>
      <w:tr w:rsidR="00E04ABD" w:rsidRPr="00721B07" w14:paraId="42FF5644"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4DF7EB79" w14:textId="77777777" w:rsidR="00E04ABD" w:rsidRPr="00721B07" w:rsidRDefault="00E04ABD" w:rsidP="00B0051B">
            <w:pPr>
              <w:rPr>
                <w:rFonts w:ascii="Arial" w:hAnsi="Arial" w:cs="Arial"/>
                <w:color w:val="000000"/>
              </w:rPr>
            </w:pPr>
            <w:r w:rsidRPr="00721B07">
              <w:rPr>
                <w:rFonts w:ascii="Arial" w:hAnsi="Arial" w:cs="Arial"/>
                <w:color w:val="000000"/>
              </w:rPr>
              <w:t>Comorbidity: Metastatic cancer and acute leukemia</w:t>
            </w:r>
          </w:p>
        </w:tc>
        <w:tc>
          <w:tcPr>
            <w:tcW w:w="1457" w:type="dxa"/>
            <w:tcBorders>
              <w:top w:val="nil"/>
              <w:left w:val="nil"/>
              <w:bottom w:val="single" w:sz="4" w:space="0" w:color="auto"/>
              <w:right w:val="single" w:sz="4" w:space="0" w:color="auto"/>
            </w:tcBorders>
            <w:shd w:val="clear" w:color="auto" w:fill="auto"/>
            <w:noWrap/>
            <w:vAlign w:val="bottom"/>
            <w:hideMark/>
          </w:tcPr>
          <w:p w14:paraId="3B116270" w14:textId="77777777" w:rsidR="00E04ABD" w:rsidRPr="00721B07" w:rsidRDefault="00E04ABD" w:rsidP="00B0051B">
            <w:pPr>
              <w:jc w:val="right"/>
              <w:rPr>
                <w:rFonts w:ascii="Arial" w:hAnsi="Arial" w:cs="Arial"/>
                <w:color w:val="000000"/>
              </w:rPr>
            </w:pPr>
            <w:r w:rsidRPr="00721B07">
              <w:rPr>
                <w:rFonts w:ascii="Arial" w:hAnsi="Arial" w:cs="Arial"/>
                <w:color w:val="000000"/>
              </w:rPr>
              <w:t>-0.826</w:t>
            </w:r>
          </w:p>
        </w:tc>
        <w:tc>
          <w:tcPr>
            <w:tcW w:w="1240" w:type="dxa"/>
            <w:tcBorders>
              <w:top w:val="nil"/>
              <w:left w:val="nil"/>
              <w:bottom w:val="single" w:sz="4" w:space="0" w:color="auto"/>
              <w:right w:val="single" w:sz="4" w:space="0" w:color="auto"/>
            </w:tcBorders>
            <w:shd w:val="clear" w:color="auto" w:fill="auto"/>
            <w:noWrap/>
            <w:vAlign w:val="bottom"/>
            <w:hideMark/>
          </w:tcPr>
          <w:p w14:paraId="24FA4898" w14:textId="77777777" w:rsidR="00E04ABD" w:rsidRPr="00721B07" w:rsidRDefault="00E04ABD" w:rsidP="00B0051B">
            <w:pPr>
              <w:jc w:val="right"/>
              <w:rPr>
                <w:rFonts w:ascii="Arial" w:hAnsi="Arial" w:cs="Arial"/>
                <w:color w:val="000000"/>
              </w:rPr>
            </w:pPr>
            <w:r w:rsidRPr="00721B07">
              <w:rPr>
                <w:rFonts w:ascii="Arial" w:hAnsi="Arial" w:cs="Arial"/>
                <w:color w:val="000000"/>
              </w:rPr>
              <w:t>0.426</w:t>
            </w:r>
          </w:p>
        </w:tc>
        <w:tc>
          <w:tcPr>
            <w:tcW w:w="1240" w:type="dxa"/>
            <w:tcBorders>
              <w:top w:val="nil"/>
              <w:left w:val="nil"/>
              <w:bottom w:val="single" w:sz="4" w:space="0" w:color="auto"/>
              <w:right w:val="single" w:sz="4" w:space="0" w:color="auto"/>
            </w:tcBorders>
            <w:shd w:val="clear" w:color="auto" w:fill="auto"/>
            <w:noWrap/>
            <w:vAlign w:val="bottom"/>
            <w:hideMark/>
          </w:tcPr>
          <w:p w14:paraId="30BFA3E5" w14:textId="77777777" w:rsidR="00E04ABD" w:rsidRPr="00721B07" w:rsidRDefault="00E04ABD" w:rsidP="00B0051B">
            <w:pPr>
              <w:jc w:val="right"/>
              <w:rPr>
                <w:rFonts w:ascii="Arial" w:hAnsi="Arial" w:cs="Arial"/>
                <w:color w:val="000000"/>
              </w:rPr>
            </w:pPr>
            <w:r w:rsidRPr="00721B07">
              <w:rPr>
                <w:rFonts w:ascii="Arial" w:hAnsi="Arial" w:cs="Arial"/>
                <w:color w:val="000000"/>
              </w:rPr>
              <w:t>0.053</w:t>
            </w:r>
          </w:p>
        </w:tc>
      </w:tr>
      <w:tr w:rsidR="00E04ABD" w:rsidRPr="00721B07" w14:paraId="32808E1A"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89D52E2" w14:textId="77777777" w:rsidR="00E04ABD" w:rsidRPr="00721B07" w:rsidRDefault="00E04ABD" w:rsidP="00B0051B">
            <w:pPr>
              <w:rPr>
                <w:rFonts w:ascii="Arial" w:hAnsi="Arial" w:cs="Arial"/>
                <w:color w:val="000000"/>
              </w:rPr>
            </w:pPr>
            <w:r w:rsidRPr="00721B07">
              <w:rPr>
                <w:rFonts w:ascii="Arial" w:hAnsi="Arial" w:cs="Arial"/>
                <w:color w:val="000000"/>
              </w:rPr>
              <w:t>Comorbidity: Diabetes</w:t>
            </w:r>
          </w:p>
        </w:tc>
        <w:tc>
          <w:tcPr>
            <w:tcW w:w="1457" w:type="dxa"/>
            <w:tcBorders>
              <w:top w:val="nil"/>
              <w:left w:val="nil"/>
              <w:bottom w:val="single" w:sz="4" w:space="0" w:color="auto"/>
              <w:right w:val="single" w:sz="4" w:space="0" w:color="auto"/>
            </w:tcBorders>
            <w:shd w:val="clear" w:color="auto" w:fill="auto"/>
            <w:noWrap/>
            <w:vAlign w:val="bottom"/>
            <w:hideMark/>
          </w:tcPr>
          <w:p w14:paraId="26817C53" w14:textId="77777777" w:rsidR="00E04ABD" w:rsidRPr="00721B07" w:rsidRDefault="00E04ABD" w:rsidP="00B0051B">
            <w:pPr>
              <w:jc w:val="right"/>
              <w:rPr>
                <w:rFonts w:ascii="Arial" w:hAnsi="Arial" w:cs="Arial"/>
                <w:color w:val="000000"/>
              </w:rPr>
            </w:pPr>
            <w:r w:rsidRPr="00721B07">
              <w:rPr>
                <w:rFonts w:ascii="Arial" w:hAnsi="Arial" w:cs="Arial"/>
                <w:color w:val="000000"/>
              </w:rPr>
              <w:t>-0.360</w:t>
            </w:r>
          </w:p>
        </w:tc>
        <w:tc>
          <w:tcPr>
            <w:tcW w:w="1240" w:type="dxa"/>
            <w:tcBorders>
              <w:top w:val="nil"/>
              <w:left w:val="nil"/>
              <w:bottom w:val="single" w:sz="4" w:space="0" w:color="auto"/>
              <w:right w:val="single" w:sz="4" w:space="0" w:color="auto"/>
            </w:tcBorders>
            <w:shd w:val="clear" w:color="auto" w:fill="auto"/>
            <w:noWrap/>
            <w:vAlign w:val="bottom"/>
            <w:hideMark/>
          </w:tcPr>
          <w:p w14:paraId="508B35EC" w14:textId="77777777" w:rsidR="00E04ABD" w:rsidRPr="00721B07" w:rsidRDefault="00E04ABD" w:rsidP="00B0051B">
            <w:pPr>
              <w:jc w:val="right"/>
              <w:rPr>
                <w:rFonts w:ascii="Arial" w:hAnsi="Arial" w:cs="Arial"/>
                <w:color w:val="000000"/>
              </w:rPr>
            </w:pPr>
            <w:r w:rsidRPr="00721B07">
              <w:rPr>
                <w:rFonts w:ascii="Arial" w:hAnsi="Arial" w:cs="Arial"/>
                <w:color w:val="000000"/>
              </w:rPr>
              <w:t>0.197</w:t>
            </w:r>
          </w:p>
        </w:tc>
        <w:tc>
          <w:tcPr>
            <w:tcW w:w="1240" w:type="dxa"/>
            <w:tcBorders>
              <w:top w:val="nil"/>
              <w:left w:val="nil"/>
              <w:bottom w:val="single" w:sz="4" w:space="0" w:color="auto"/>
              <w:right w:val="single" w:sz="4" w:space="0" w:color="auto"/>
            </w:tcBorders>
            <w:shd w:val="clear" w:color="auto" w:fill="auto"/>
            <w:noWrap/>
            <w:vAlign w:val="bottom"/>
            <w:hideMark/>
          </w:tcPr>
          <w:p w14:paraId="07A07A4D" w14:textId="77777777" w:rsidR="00E04ABD" w:rsidRPr="00721B07" w:rsidRDefault="00E04ABD" w:rsidP="00B0051B">
            <w:pPr>
              <w:jc w:val="right"/>
              <w:rPr>
                <w:rFonts w:ascii="Arial" w:hAnsi="Arial" w:cs="Arial"/>
                <w:color w:val="000000"/>
              </w:rPr>
            </w:pPr>
            <w:r w:rsidRPr="00721B07">
              <w:rPr>
                <w:rFonts w:ascii="Arial" w:hAnsi="Arial" w:cs="Arial"/>
                <w:color w:val="000000"/>
              </w:rPr>
              <w:t>0.067</w:t>
            </w:r>
          </w:p>
        </w:tc>
      </w:tr>
      <w:tr w:rsidR="00E04ABD" w:rsidRPr="00721B07" w14:paraId="23B841E6"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8D842C8" w14:textId="77777777" w:rsidR="00E04ABD" w:rsidRPr="00721B07" w:rsidRDefault="00E04ABD" w:rsidP="00B0051B">
            <w:pPr>
              <w:rPr>
                <w:rFonts w:ascii="Arial" w:hAnsi="Arial" w:cs="Arial"/>
                <w:color w:val="000000"/>
              </w:rPr>
            </w:pPr>
            <w:r w:rsidRPr="00721B07">
              <w:rPr>
                <w:rFonts w:ascii="Arial" w:hAnsi="Arial" w:cs="Arial"/>
                <w:color w:val="000000"/>
              </w:rPr>
              <w:t>Comorbidity: Other endocrine/metabolic disorders</w:t>
            </w:r>
          </w:p>
        </w:tc>
        <w:tc>
          <w:tcPr>
            <w:tcW w:w="1457" w:type="dxa"/>
            <w:tcBorders>
              <w:top w:val="nil"/>
              <w:left w:val="nil"/>
              <w:bottom w:val="single" w:sz="4" w:space="0" w:color="auto"/>
              <w:right w:val="single" w:sz="4" w:space="0" w:color="auto"/>
            </w:tcBorders>
            <w:shd w:val="clear" w:color="auto" w:fill="auto"/>
            <w:noWrap/>
            <w:vAlign w:val="bottom"/>
            <w:hideMark/>
          </w:tcPr>
          <w:p w14:paraId="6B86A322" w14:textId="77777777" w:rsidR="00E04ABD" w:rsidRPr="00721B07" w:rsidRDefault="00E04ABD" w:rsidP="00B0051B">
            <w:pPr>
              <w:jc w:val="right"/>
              <w:rPr>
                <w:rFonts w:ascii="Arial" w:hAnsi="Arial" w:cs="Arial"/>
                <w:color w:val="000000"/>
              </w:rPr>
            </w:pPr>
            <w:r w:rsidRPr="00721B07">
              <w:rPr>
                <w:rFonts w:ascii="Arial" w:hAnsi="Arial" w:cs="Arial"/>
                <w:color w:val="000000"/>
              </w:rPr>
              <w:t>0.609</w:t>
            </w:r>
          </w:p>
        </w:tc>
        <w:tc>
          <w:tcPr>
            <w:tcW w:w="1240" w:type="dxa"/>
            <w:tcBorders>
              <w:top w:val="nil"/>
              <w:left w:val="nil"/>
              <w:bottom w:val="single" w:sz="4" w:space="0" w:color="auto"/>
              <w:right w:val="single" w:sz="4" w:space="0" w:color="auto"/>
            </w:tcBorders>
            <w:shd w:val="clear" w:color="auto" w:fill="auto"/>
            <w:noWrap/>
            <w:vAlign w:val="bottom"/>
            <w:hideMark/>
          </w:tcPr>
          <w:p w14:paraId="272D3D33" w14:textId="77777777" w:rsidR="00E04ABD" w:rsidRPr="00721B07" w:rsidRDefault="00E04ABD" w:rsidP="00B0051B">
            <w:pPr>
              <w:jc w:val="right"/>
              <w:rPr>
                <w:rFonts w:ascii="Arial" w:hAnsi="Arial" w:cs="Arial"/>
                <w:color w:val="000000"/>
              </w:rPr>
            </w:pPr>
            <w:r w:rsidRPr="00721B07">
              <w:rPr>
                <w:rFonts w:ascii="Arial" w:hAnsi="Arial" w:cs="Arial"/>
                <w:color w:val="000000"/>
              </w:rPr>
              <w:t>0.444</w:t>
            </w:r>
          </w:p>
        </w:tc>
        <w:tc>
          <w:tcPr>
            <w:tcW w:w="1240" w:type="dxa"/>
            <w:tcBorders>
              <w:top w:val="nil"/>
              <w:left w:val="nil"/>
              <w:bottom w:val="single" w:sz="4" w:space="0" w:color="auto"/>
              <w:right w:val="single" w:sz="4" w:space="0" w:color="auto"/>
            </w:tcBorders>
            <w:shd w:val="clear" w:color="auto" w:fill="auto"/>
            <w:noWrap/>
            <w:vAlign w:val="bottom"/>
            <w:hideMark/>
          </w:tcPr>
          <w:p w14:paraId="0D918C19" w14:textId="77777777" w:rsidR="00E04ABD" w:rsidRPr="00721B07" w:rsidRDefault="00E04ABD" w:rsidP="00B0051B">
            <w:pPr>
              <w:jc w:val="right"/>
              <w:rPr>
                <w:rFonts w:ascii="Arial" w:hAnsi="Arial" w:cs="Arial"/>
                <w:color w:val="000000"/>
              </w:rPr>
            </w:pPr>
            <w:r w:rsidRPr="00721B07">
              <w:rPr>
                <w:rFonts w:ascii="Arial" w:hAnsi="Arial" w:cs="Arial"/>
                <w:color w:val="000000"/>
              </w:rPr>
              <w:t>0.171</w:t>
            </w:r>
          </w:p>
        </w:tc>
      </w:tr>
      <w:tr w:rsidR="00E04ABD" w:rsidRPr="00721B07" w14:paraId="315D8834"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EC4CB79" w14:textId="77777777" w:rsidR="00E04ABD" w:rsidRPr="00721B07" w:rsidRDefault="00E04ABD" w:rsidP="00B0051B">
            <w:pPr>
              <w:rPr>
                <w:rFonts w:ascii="Arial" w:hAnsi="Arial" w:cs="Arial"/>
                <w:color w:val="000000"/>
              </w:rPr>
            </w:pPr>
            <w:r w:rsidRPr="00721B07">
              <w:rPr>
                <w:rFonts w:ascii="Arial" w:hAnsi="Arial" w:cs="Arial"/>
                <w:color w:val="000000"/>
              </w:rPr>
              <w:t>Comorbidity: Delirium and encephalopathy</w:t>
            </w:r>
          </w:p>
        </w:tc>
        <w:tc>
          <w:tcPr>
            <w:tcW w:w="1457" w:type="dxa"/>
            <w:tcBorders>
              <w:top w:val="nil"/>
              <w:left w:val="nil"/>
              <w:bottom w:val="single" w:sz="4" w:space="0" w:color="auto"/>
              <w:right w:val="single" w:sz="4" w:space="0" w:color="auto"/>
            </w:tcBorders>
            <w:shd w:val="clear" w:color="auto" w:fill="auto"/>
            <w:noWrap/>
            <w:vAlign w:val="bottom"/>
            <w:hideMark/>
          </w:tcPr>
          <w:p w14:paraId="0EBEE6A2" w14:textId="77777777" w:rsidR="00E04ABD" w:rsidRPr="00721B07" w:rsidRDefault="00E04ABD" w:rsidP="00B0051B">
            <w:pPr>
              <w:jc w:val="right"/>
              <w:rPr>
                <w:rFonts w:ascii="Arial" w:hAnsi="Arial" w:cs="Arial"/>
                <w:color w:val="000000"/>
              </w:rPr>
            </w:pPr>
            <w:r w:rsidRPr="00721B07">
              <w:rPr>
                <w:rFonts w:ascii="Arial" w:hAnsi="Arial" w:cs="Arial"/>
                <w:color w:val="000000"/>
              </w:rPr>
              <w:t>-0.162</w:t>
            </w:r>
          </w:p>
        </w:tc>
        <w:tc>
          <w:tcPr>
            <w:tcW w:w="1240" w:type="dxa"/>
            <w:tcBorders>
              <w:top w:val="nil"/>
              <w:left w:val="nil"/>
              <w:bottom w:val="single" w:sz="4" w:space="0" w:color="auto"/>
              <w:right w:val="single" w:sz="4" w:space="0" w:color="auto"/>
            </w:tcBorders>
            <w:shd w:val="clear" w:color="auto" w:fill="auto"/>
            <w:noWrap/>
            <w:vAlign w:val="bottom"/>
            <w:hideMark/>
          </w:tcPr>
          <w:p w14:paraId="4CA28A20" w14:textId="77777777" w:rsidR="00E04ABD" w:rsidRPr="00721B07" w:rsidRDefault="00E04ABD" w:rsidP="00B0051B">
            <w:pPr>
              <w:jc w:val="right"/>
              <w:rPr>
                <w:rFonts w:ascii="Arial" w:hAnsi="Arial" w:cs="Arial"/>
                <w:color w:val="000000"/>
              </w:rPr>
            </w:pPr>
            <w:r w:rsidRPr="00721B07">
              <w:rPr>
                <w:rFonts w:ascii="Arial" w:hAnsi="Arial" w:cs="Arial"/>
                <w:color w:val="000000"/>
              </w:rPr>
              <w:t>0.578</w:t>
            </w:r>
          </w:p>
        </w:tc>
        <w:tc>
          <w:tcPr>
            <w:tcW w:w="1240" w:type="dxa"/>
            <w:tcBorders>
              <w:top w:val="nil"/>
              <w:left w:val="nil"/>
              <w:bottom w:val="single" w:sz="4" w:space="0" w:color="auto"/>
              <w:right w:val="single" w:sz="4" w:space="0" w:color="auto"/>
            </w:tcBorders>
            <w:shd w:val="clear" w:color="auto" w:fill="auto"/>
            <w:noWrap/>
            <w:vAlign w:val="bottom"/>
            <w:hideMark/>
          </w:tcPr>
          <w:p w14:paraId="1299CD16" w14:textId="77777777" w:rsidR="00E04ABD" w:rsidRPr="00721B07" w:rsidRDefault="00E04ABD" w:rsidP="00B0051B">
            <w:pPr>
              <w:jc w:val="right"/>
              <w:rPr>
                <w:rFonts w:ascii="Arial" w:hAnsi="Arial" w:cs="Arial"/>
                <w:color w:val="000000"/>
              </w:rPr>
            </w:pPr>
            <w:r w:rsidRPr="00721B07">
              <w:rPr>
                <w:rFonts w:ascii="Arial" w:hAnsi="Arial" w:cs="Arial"/>
                <w:color w:val="000000"/>
              </w:rPr>
              <w:t>0.779</w:t>
            </w:r>
          </w:p>
        </w:tc>
      </w:tr>
      <w:tr w:rsidR="00E04ABD" w:rsidRPr="00721B07" w14:paraId="6115E87D"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6C3F0A1B" w14:textId="77777777" w:rsidR="00E04ABD" w:rsidRPr="00721B07" w:rsidRDefault="00E04ABD" w:rsidP="00B0051B">
            <w:pPr>
              <w:rPr>
                <w:rFonts w:ascii="Arial" w:hAnsi="Arial" w:cs="Arial"/>
                <w:color w:val="000000"/>
              </w:rPr>
            </w:pPr>
            <w:r w:rsidRPr="00721B07">
              <w:rPr>
                <w:rFonts w:ascii="Arial" w:hAnsi="Arial" w:cs="Arial"/>
                <w:color w:val="000000"/>
              </w:rPr>
              <w:t>Comorbidity: Dementia</w:t>
            </w:r>
          </w:p>
        </w:tc>
        <w:tc>
          <w:tcPr>
            <w:tcW w:w="1457" w:type="dxa"/>
            <w:tcBorders>
              <w:top w:val="nil"/>
              <w:left w:val="nil"/>
              <w:bottom w:val="single" w:sz="4" w:space="0" w:color="auto"/>
              <w:right w:val="single" w:sz="4" w:space="0" w:color="auto"/>
            </w:tcBorders>
            <w:shd w:val="clear" w:color="auto" w:fill="auto"/>
            <w:noWrap/>
            <w:vAlign w:val="bottom"/>
            <w:hideMark/>
          </w:tcPr>
          <w:p w14:paraId="49739822" w14:textId="77777777" w:rsidR="00E04ABD" w:rsidRPr="00721B07" w:rsidRDefault="00E04ABD" w:rsidP="00B0051B">
            <w:pPr>
              <w:jc w:val="right"/>
              <w:rPr>
                <w:rFonts w:ascii="Arial" w:hAnsi="Arial" w:cs="Arial"/>
                <w:color w:val="000000"/>
              </w:rPr>
            </w:pPr>
            <w:r w:rsidRPr="00721B07">
              <w:rPr>
                <w:rFonts w:ascii="Arial" w:hAnsi="Arial" w:cs="Arial"/>
                <w:color w:val="000000"/>
              </w:rPr>
              <w:t>-1.741</w:t>
            </w:r>
          </w:p>
        </w:tc>
        <w:tc>
          <w:tcPr>
            <w:tcW w:w="1240" w:type="dxa"/>
            <w:tcBorders>
              <w:top w:val="nil"/>
              <w:left w:val="nil"/>
              <w:bottom w:val="single" w:sz="4" w:space="0" w:color="auto"/>
              <w:right w:val="single" w:sz="4" w:space="0" w:color="auto"/>
            </w:tcBorders>
            <w:shd w:val="clear" w:color="auto" w:fill="auto"/>
            <w:noWrap/>
            <w:vAlign w:val="bottom"/>
            <w:hideMark/>
          </w:tcPr>
          <w:p w14:paraId="72A02099" w14:textId="77777777" w:rsidR="00E04ABD" w:rsidRPr="00721B07" w:rsidRDefault="00E04ABD" w:rsidP="00B0051B">
            <w:pPr>
              <w:jc w:val="right"/>
              <w:rPr>
                <w:rFonts w:ascii="Arial" w:hAnsi="Arial" w:cs="Arial"/>
                <w:color w:val="000000"/>
              </w:rPr>
            </w:pPr>
            <w:r w:rsidRPr="00721B07">
              <w:rPr>
                <w:rFonts w:ascii="Arial" w:hAnsi="Arial" w:cs="Arial"/>
                <w:color w:val="000000"/>
              </w:rPr>
              <w:t>0.282</w:t>
            </w:r>
          </w:p>
        </w:tc>
        <w:tc>
          <w:tcPr>
            <w:tcW w:w="1240" w:type="dxa"/>
            <w:tcBorders>
              <w:top w:val="nil"/>
              <w:left w:val="nil"/>
              <w:bottom w:val="single" w:sz="4" w:space="0" w:color="auto"/>
              <w:right w:val="single" w:sz="4" w:space="0" w:color="auto"/>
            </w:tcBorders>
            <w:shd w:val="clear" w:color="auto" w:fill="auto"/>
            <w:noWrap/>
            <w:vAlign w:val="bottom"/>
            <w:hideMark/>
          </w:tcPr>
          <w:p w14:paraId="040F7C08"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88ED21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2084FC59" w14:textId="77777777" w:rsidR="00E04ABD" w:rsidRPr="00721B07" w:rsidRDefault="00E04ABD" w:rsidP="00B0051B">
            <w:pPr>
              <w:rPr>
                <w:rFonts w:ascii="Arial" w:hAnsi="Arial" w:cs="Arial"/>
                <w:color w:val="000000"/>
              </w:rPr>
            </w:pPr>
            <w:r w:rsidRPr="00721B07">
              <w:rPr>
                <w:rFonts w:ascii="Arial" w:hAnsi="Arial" w:cs="Arial"/>
                <w:color w:val="000000"/>
              </w:rPr>
              <w:t>Comorbidity: Tetraplegia and paraplegia</w:t>
            </w:r>
          </w:p>
        </w:tc>
        <w:tc>
          <w:tcPr>
            <w:tcW w:w="1457" w:type="dxa"/>
            <w:tcBorders>
              <w:top w:val="nil"/>
              <w:left w:val="nil"/>
              <w:bottom w:val="single" w:sz="4" w:space="0" w:color="auto"/>
              <w:right w:val="single" w:sz="4" w:space="0" w:color="auto"/>
            </w:tcBorders>
            <w:shd w:val="clear" w:color="auto" w:fill="auto"/>
            <w:noWrap/>
            <w:vAlign w:val="bottom"/>
            <w:hideMark/>
          </w:tcPr>
          <w:p w14:paraId="28D19C41" w14:textId="77777777" w:rsidR="00E04ABD" w:rsidRPr="00721B07" w:rsidRDefault="00E04ABD" w:rsidP="00B0051B">
            <w:pPr>
              <w:jc w:val="right"/>
              <w:rPr>
                <w:rFonts w:ascii="Arial" w:hAnsi="Arial" w:cs="Arial"/>
                <w:color w:val="000000"/>
              </w:rPr>
            </w:pPr>
            <w:r w:rsidRPr="00721B07">
              <w:rPr>
                <w:rFonts w:ascii="Arial" w:hAnsi="Arial" w:cs="Arial"/>
                <w:color w:val="000000"/>
              </w:rPr>
              <w:t>-2.130</w:t>
            </w:r>
          </w:p>
        </w:tc>
        <w:tc>
          <w:tcPr>
            <w:tcW w:w="1240" w:type="dxa"/>
            <w:tcBorders>
              <w:top w:val="nil"/>
              <w:left w:val="nil"/>
              <w:bottom w:val="single" w:sz="4" w:space="0" w:color="auto"/>
              <w:right w:val="single" w:sz="4" w:space="0" w:color="auto"/>
            </w:tcBorders>
            <w:shd w:val="clear" w:color="auto" w:fill="auto"/>
            <w:noWrap/>
            <w:vAlign w:val="bottom"/>
            <w:hideMark/>
          </w:tcPr>
          <w:p w14:paraId="0C642CC1" w14:textId="77777777" w:rsidR="00E04ABD" w:rsidRPr="00721B07" w:rsidRDefault="00E04ABD" w:rsidP="00B0051B">
            <w:pPr>
              <w:jc w:val="right"/>
              <w:rPr>
                <w:rFonts w:ascii="Arial" w:hAnsi="Arial" w:cs="Arial"/>
                <w:color w:val="000000"/>
              </w:rPr>
            </w:pPr>
            <w:r w:rsidRPr="00721B07">
              <w:rPr>
                <w:rFonts w:ascii="Arial" w:hAnsi="Arial" w:cs="Arial"/>
                <w:color w:val="000000"/>
              </w:rPr>
              <w:t>1.723</w:t>
            </w:r>
          </w:p>
        </w:tc>
        <w:tc>
          <w:tcPr>
            <w:tcW w:w="1240" w:type="dxa"/>
            <w:tcBorders>
              <w:top w:val="nil"/>
              <w:left w:val="nil"/>
              <w:bottom w:val="single" w:sz="4" w:space="0" w:color="auto"/>
              <w:right w:val="single" w:sz="4" w:space="0" w:color="auto"/>
            </w:tcBorders>
            <w:shd w:val="clear" w:color="auto" w:fill="auto"/>
            <w:noWrap/>
            <w:vAlign w:val="bottom"/>
            <w:hideMark/>
          </w:tcPr>
          <w:p w14:paraId="7A1591FF" w14:textId="77777777" w:rsidR="00E04ABD" w:rsidRPr="00721B07" w:rsidRDefault="00E04ABD" w:rsidP="00B0051B">
            <w:pPr>
              <w:jc w:val="right"/>
              <w:rPr>
                <w:rFonts w:ascii="Arial" w:hAnsi="Arial" w:cs="Arial"/>
                <w:color w:val="000000"/>
              </w:rPr>
            </w:pPr>
            <w:r w:rsidRPr="00721B07">
              <w:rPr>
                <w:rFonts w:ascii="Arial" w:hAnsi="Arial" w:cs="Arial"/>
                <w:color w:val="000000"/>
              </w:rPr>
              <w:t>0.217</w:t>
            </w:r>
          </w:p>
        </w:tc>
      </w:tr>
      <w:tr w:rsidR="00E04ABD" w:rsidRPr="00721B07" w14:paraId="52AE84F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A1E3F95" w14:textId="77777777" w:rsidR="00E04ABD" w:rsidRPr="00721B07" w:rsidRDefault="00E04ABD" w:rsidP="00B0051B">
            <w:pPr>
              <w:rPr>
                <w:rFonts w:ascii="Arial" w:hAnsi="Arial" w:cs="Arial"/>
                <w:color w:val="000000"/>
              </w:rPr>
            </w:pPr>
            <w:r w:rsidRPr="00721B07">
              <w:rPr>
                <w:rFonts w:ascii="Arial" w:hAnsi="Arial" w:cs="Arial"/>
                <w:color w:val="000000"/>
              </w:rPr>
              <w:t>Comorbidity: Multiple sclerosis</w:t>
            </w:r>
          </w:p>
        </w:tc>
        <w:tc>
          <w:tcPr>
            <w:tcW w:w="1457" w:type="dxa"/>
            <w:tcBorders>
              <w:top w:val="nil"/>
              <w:left w:val="nil"/>
              <w:bottom w:val="single" w:sz="4" w:space="0" w:color="auto"/>
              <w:right w:val="single" w:sz="4" w:space="0" w:color="auto"/>
            </w:tcBorders>
            <w:shd w:val="clear" w:color="auto" w:fill="auto"/>
            <w:noWrap/>
            <w:vAlign w:val="bottom"/>
            <w:hideMark/>
          </w:tcPr>
          <w:p w14:paraId="4579E356" w14:textId="77777777" w:rsidR="00E04ABD" w:rsidRPr="00721B07" w:rsidRDefault="00E04ABD" w:rsidP="00B0051B">
            <w:pPr>
              <w:jc w:val="right"/>
              <w:rPr>
                <w:rFonts w:ascii="Arial" w:hAnsi="Arial" w:cs="Arial"/>
                <w:color w:val="000000"/>
              </w:rPr>
            </w:pPr>
            <w:r w:rsidRPr="00721B07">
              <w:rPr>
                <w:rFonts w:ascii="Arial" w:hAnsi="Arial" w:cs="Arial"/>
                <w:color w:val="000000"/>
              </w:rPr>
              <w:t>-1.349</w:t>
            </w:r>
          </w:p>
        </w:tc>
        <w:tc>
          <w:tcPr>
            <w:tcW w:w="1240" w:type="dxa"/>
            <w:tcBorders>
              <w:top w:val="nil"/>
              <w:left w:val="nil"/>
              <w:bottom w:val="single" w:sz="4" w:space="0" w:color="auto"/>
              <w:right w:val="single" w:sz="4" w:space="0" w:color="auto"/>
            </w:tcBorders>
            <w:shd w:val="clear" w:color="auto" w:fill="auto"/>
            <w:noWrap/>
            <w:vAlign w:val="bottom"/>
            <w:hideMark/>
          </w:tcPr>
          <w:p w14:paraId="70133A86" w14:textId="77777777" w:rsidR="00E04ABD" w:rsidRPr="00721B07" w:rsidRDefault="00E04ABD" w:rsidP="00B0051B">
            <w:pPr>
              <w:jc w:val="right"/>
              <w:rPr>
                <w:rFonts w:ascii="Arial" w:hAnsi="Arial" w:cs="Arial"/>
                <w:color w:val="000000"/>
              </w:rPr>
            </w:pPr>
            <w:r w:rsidRPr="00721B07">
              <w:rPr>
                <w:rFonts w:ascii="Arial" w:hAnsi="Arial" w:cs="Arial"/>
                <w:color w:val="000000"/>
              </w:rPr>
              <w:t>1.397</w:t>
            </w:r>
          </w:p>
        </w:tc>
        <w:tc>
          <w:tcPr>
            <w:tcW w:w="1240" w:type="dxa"/>
            <w:tcBorders>
              <w:top w:val="nil"/>
              <w:left w:val="nil"/>
              <w:bottom w:val="single" w:sz="4" w:space="0" w:color="auto"/>
              <w:right w:val="single" w:sz="4" w:space="0" w:color="auto"/>
            </w:tcBorders>
            <w:shd w:val="clear" w:color="auto" w:fill="auto"/>
            <w:noWrap/>
            <w:vAlign w:val="bottom"/>
            <w:hideMark/>
          </w:tcPr>
          <w:p w14:paraId="2CB9102E" w14:textId="77777777" w:rsidR="00E04ABD" w:rsidRPr="00721B07" w:rsidRDefault="00E04ABD" w:rsidP="00B0051B">
            <w:pPr>
              <w:jc w:val="right"/>
              <w:rPr>
                <w:rFonts w:ascii="Arial" w:hAnsi="Arial" w:cs="Arial"/>
                <w:color w:val="000000"/>
              </w:rPr>
            </w:pPr>
            <w:r w:rsidRPr="00721B07">
              <w:rPr>
                <w:rFonts w:ascii="Arial" w:hAnsi="Arial" w:cs="Arial"/>
                <w:color w:val="000000"/>
              </w:rPr>
              <w:t>0.334</w:t>
            </w:r>
          </w:p>
        </w:tc>
      </w:tr>
      <w:tr w:rsidR="00E04ABD" w:rsidRPr="00721B07" w14:paraId="175A0585"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0C2F9974" w14:textId="77777777" w:rsidR="00E04ABD" w:rsidRPr="00721B07" w:rsidRDefault="00E04ABD" w:rsidP="00B0051B">
            <w:pPr>
              <w:rPr>
                <w:rFonts w:ascii="Arial" w:hAnsi="Arial" w:cs="Arial"/>
                <w:color w:val="000000"/>
              </w:rPr>
            </w:pPr>
            <w:r w:rsidRPr="00721B07">
              <w:rPr>
                <w:rFonts w:ascii="Arial" w:hAnsi="Arial" w:cs="Arial"/>
                <w:color w:val="000000"/>
              </w:rPr>
              <w:t>Comorbidity: Parkinson's and Huntington's disease</w:t>
            </w:r>
          </w:p>
        </w:tc>
        <w:tc>
          <w:tcPr>
            <w:tcW w:w="1457" w:type="dxa"/>
            <w:tcBorders>
              <w:top w:val="nil"/>
              <w:left w:val="nil"/>
              <w:bottom w:val="single" w:sz="4" w:space="0" w:color="auto"/>
              <w:right w:val="single" w:sz="4" w:space="0" w:color="auto"/>
            </w:tcBorders>
            <w:shd w:val="clear" w:color="auto" w:fill="auto"/>
            <w:noWrap/>
            <w:vAlign w:val="bottom"/>
            <w:hideMark/>
          </w:tcPr>
          <w:p w14:paraId="191EA094" w14:textId="77777777" w:rsidR="00E04ABD" w:rsidRPr="00721B07" w:rsidRDefault="00E04ABD" w:rsidP="00B0051B">
            <w:pPr>
              <w:jc w:val="right"/>
              <w:rPr>
                <w:rFonts w:ascii="Arial" w:hAnsi="Arial" w:cs="Arial"/>
                <w:color w:val="000000"/>
              </w:rPr>
            </w:pPr>
            <w:r w:rsidRPr="00721B07">
              <w:rPr>
                <w:rFonts w:ascii="Arial" w:hAnsi="Arial" w:cs="Arial"/>
                <w:color w:val="000000"/>
              </w:rPr>
              <w:t>-0.278</w:t>
            </w:r>
          </w:p>
        </w:tc>
        <w:tc>
          <w:tcPr>
            <w:tcW w:w="1240" w:type="dxa"/>
            <w:tcBorders>
              <w:top w:val="nil"/>
              <w:left w:val="nil"/>
              <w:bottom w:val="single" w:sz="4" w:space="0" w:color="auto"/>
              <w:right w:val="single" w:sz="4" w:space="0" w:color="auto"/>
            </w:tcBorders>
            <w:shd w:val="clear" w:color="auto" w:fill="auto"/>
            <w:noWrap/>
            <w:vAlign w:val="bottom"/>
            <w:hideMark/>
          </w:tcPr>
          <w:p w14:paraId="47031266" w14:textId="77777777" w:rsidR="00E04ABD" w:rsidRPr="00721B07" w:rsidRDefault="00E04ABD" w:rsidP="00B0051B">
            <w:pPr>
              <w:jc w:val="right"/>
              <w:rPr>
                <w:rFonts w:ascii="Arial" w:hAnsi="Arial" w:cs="Arial"/>
                <w:color w:val="000000"/>
              </w:rPr>
            </w:pPr>
            <w:r w:rsidRPr="00721B07">
              <w:rPr>
                <w:rFonts w:ascii="Arial" w:hAnsi="Arial" w:cs="Arial"/>
                <w:color w:val="000000"/>
              </w:rPr>
              <w:t>0.526</w:t>
            </w:r>
          </w:p>
        </w:tc>
        <w:tc>
          <w:tcPr>
            <w:tcW w:w="1240" w:type="dxa"/>
            <w:tcBorders>
              <w:top w:val="nil"/>
              <w:left w:val="nil"/>
              <w:bottom w:val="single" w:sz="4" w:space="0" w:color="auto"/>
              <w:right w:val="single" w:sz="4" w:space="0" w:color="auto"/>
            </w:tcBorders>
            <w:shd w:val="clear" w:color="auto" w:fill="auto"/>
            <w:noWrap/>
            <w:vAlign w:val="bottom"/>
            <w:hideMark/>
          </w:tcPr>
          <w:p w14:paraId="5BE5BB94" w14:textId="77777777" w:rsidR="00E04ABD" w:rsidRPr="00721B07" w:rsidRDefault="00E04ABD" w:rsidP="00B0051B">
            <w:pPr>
              <w:jc w:val="right"/>
              <w:rPr>
                <w:rFonts w:ascii="Arial" w:hAnsi="Arial" w:cs="Arial"/>
                <w:color w:val="000000"/>
              </w:rPr>
            </w:pPr>
            <w:r w:rsidRPr="00721B07">
              <w:rPr>
                <w:rFonts w:ascii="Arial" w:hAnsi="Arial" w:cs="Arial"/>
                <w:color w:val="000000"/>
              </w:rPr>
              <w:t>0.597</w:t>
            </w:r>
          </w:p>
        </w:tc>
      </w:tr>
      <w:tr w:rsidR="00E04ABD" w:rsidRPr="00721B07" w14:paraId="4C9718E2"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7392703E" w14:textId="77777777" w:rsidR="00E04ABD" w:rsidRPr="00721B07" w:rsidRDefault="00E04ABD" w:rsidP="00B0051B">
            <w:pPr>
              <w:rPr>
                <w:rFonts w:ascii="Arial" w:hAnsi="Arial" w:cs="Arial"/>
                <w:color w:val="000000"/>
              </w:rPr>
            </w:pPr>
            <w:r w:rsidRPr="00721B07">
              <w:rPr>
                <w:rFonts w:ascii="Arial" w:hAnsi="Arial" w:cs="Arial"/>
                <w:color w:val="000000"/>
              </w:rPr>
              <w:t>Comorbidity: Hemiplegia, other late effects of cerebrovascular accident</w:t>
            </w:r>
          </w:p>
        </w:tc>
        <w:tc>
          <w:tcPr>
            <w:tcW w:w="1457" w:type="dxa"/>
            <w:tcBorders>
              <w:top w:val="nil"/>
              <w:left w:val="nil"/>
              <w:bottom w:val="single" w:sz="4" w:space="0" w:color="auto"/>
              <w:right w:val="single" w:sz="4" w:space="0" w:color="auto"/>
            </w:tcBorders>
            <w:shd w:val="clear" w:color="auto" w:fill="auto"/>
            <w:noWrap/>
            <w:vAlign w:val="bottom"/>
            <w:hideMark/>
          </w:tcPr>
          <w:p w14:paraId="53E8EBD0" w14:textId="77777777" w:rsidR="00E04ABD" w:rsidRPr="00721B07" w:rsidRDefault="00E04ABD" w:rsidP="00B0051B">
            <w:pPr>
              <w:jc w:val="right"/>
              <w:rPr>
                <w:rFonts w:ascii="Arial" w:hAnsi="Arial" w:cs="Arial"/>
                <w:color w:val="000000"/>
              </w:rPr>
            </w:pPr>
            <w:r w:rsidRPr="00721B07">
              <w:rPr>
                <w:rFonts w:ascii="Arial" w:hAnsi="Arial" w:cs="Arial"/>
                <w:color w:val="000000"/>
              </w:rPr>
              <w:t>-0.580</w:t>
            </w:r>
          </w:p>
        </w:tc>
        <w:tc>
          <w:tcPr>
            <w:tcW w:w="1240" w:type="dxa"/>
            <w:tcBorders>
              <w:top w:val="nil"/>
              <w:left w:val="nil"/>
              <w:bottom w:val="single" w:sz="4" w:space="0" w:color="auto"/>
              <w:right w:val="single" w:sz="4" w:space="0" w:color="auto"/>
            </w:tcBorders>
            <w:shd w:val="clear" w:color="auto" w:fill="auto"/>
            <w:noWrap/>
            <w:vAlign w:val="bottom"/>
            <w:hideMark/>
          </w:tcPr>
          <w:p w14:paraId="29AB7CFB" w14:textId="77777777" w:rsidR="00E04ABD" w:rsidRPr="00721B07" w:rsidRDefault="00E04ABD" w:rsidP="00B0051B">
            <w:pPr>
              <w:jc w:val="right"/>
              <w:rPr>
                <w:rFonts w:ascii="Arial" w:hAnsi="Arial" w:cs="Arial"/>
                <w:color w:val="000000"/>
              </w:rPr>
            </w:pPr>
            <w:r w:rsidRPr="00721B07">
              <w:rPr>
                <w:rFonts w:ascii="Arial" w:hAnsi="Arial" w:cs="Arial"/>
                <w:color w:val="000000"/>
              </w:rPr>
              <w:t>0.502</w:t>
            </w:r>
          </w:p>
        </w:tc>
        <w:tc>
          <w:tcPr>
            <w:tcW w:w="1240" w:type="dxa"/>
            <w:tcBorders>
              <w:top w:val="nil"/>
              <w:left w:val="nil"/>
              <w:bottom w:val="single" w:sz="4" w:space="0" w:color="auto"/>
              <w:right w:val="single" w:sz="4" w:space="0" w:color="auto"/>
            </w:tcBorders>
            <w:shd w:val="clear" w:color="auto" w:fill="auto"/>
            <w:noWrap/>
            <w:vAlign w:val="bottom"/>
            <w:hideMark/>
          </w:tcPr>
          <w:p w14:paraId="32E66AAC" w14:textId="77777777" w:rsidR="00E04ABD" w:rsidRPr="00721B07" w:rsidRDefault="00E04ABD" w:rsidP="00B0051B">
            <w:pPr>
              <w:jc w:val="right"/>
              <w:rPr>
                <w:rFonts w:ascii="Arial" w:hAnsi="Arial" w:cs="Arial"/>
                <w:color w:val="000000"/>
              </w:rPr>
            </w:pPr>
            <w:r w:rsidRPr="00721B07">
              <w:rPr>
                <w:rFonts w:ascii="Arial" w:hAnsi="Arial" w:cs="Arial"/>
                <w:color w:val="000000"/>
              </w:rPr>
              <w:t>0.248</w:t>
            </w:r>
          </w:p>
        </w:tc>
      </w:tr>
      <w:tr w:rsidR="00E04ABD" w:rsidRPr="00721B07" w14:paraId="0790CD40"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BA26C1E" w14:textId="77777777" w:rsidR="00E04ABD" w:rsidRPr="00721B07" w:rsidRDefault="00E04ABD" w:rsidP="00B0051B">
            <w:pPr>
              <w:rPr>
                <w:rFonts w:ascii="Arial" w:hAnsi="Arial" w:cs="Arial"/>
                <w:color w:val="000000"/>
              </w:rPr>
            </w:pPr>
            <w:r w:rsidRPr="00721B07">
              <w:rPr>
                <w:rFonts w:ascii="Arial" w:hAnsi="Arial" w:cs="Arial"/>
                <w:color w:val="000000"/>
              </w:rPr>
              <w:t>Comorbidity: Dialysis status and chronic kidney disease stage 5</w:t>
            </w:r>
          </w:p>
        </w:tc>
        <w:tc>
          <w:tcPr>
            <w:tcW w:w="1457" w:type="dxa"/>
            <w:tcBorders>
              <w:top w:val="nil"/>
              <w:left w:val="nil"/>
              <w:bottom w:val="single" w:sz="4" w:space="0" w:color="auto"/>
              <w:right w:val="single" w:sz="4" w:space="0" w:color="auto"/>
            </w:tcBorders>
            <w:shd w:val="clear" w:color="auto" w:fill="auto"/>
            <w:noWrap/>
            <w:vAlign w:val="bottom"/>
            <w:hideMark/>
          </w:tcPr>
          <w:p w14:paraId="011AA8D3" w14:textId="77777777" w:rsidR="00E04ABD" w:rsidRPr="00721B07" w:rsidRDefault="00E04ABD" w:rsidP="00B0051B">
            <w:pPr>
              <w:jc w:val="right"/>
              <w:rPr>
                <w:rFonts w:ascii="Arial" w:hAnsi="Arial" w:cs="Arial"/>
                <w:color w:val="000000"/>
              </w:rPr>
            </w:pPr>
            <w:r w:rsidRPr="00721B07">
              <w:rPr>
                <w:rFonts w:ascii="Arial" w:hAnsi="Arial" w:cs="Arial"/>
                <w:color w:val="000000"/>
              </w:rPr>
              <w:t>-0.220</w:t>
            </w:r>
          </w:p>
        </w:tc>
        <w:tc>
          <w:tcPr>
            <w:tcW w:w="1240" w:type="dxa"/>
            <w:tcBorders>
              <w:top w:val="nil"/>
              <w:left w:val="nil"/>
              <w:bottom w:val="single" w:sz="4" w:space="0" w:color="auto"/>
              <w:right w:val="single" w:sz="4" w:space="0" w:color="auto"/>
            </w:tcBorders>
            <w:shd w:val="clear" w:color="auto" w:fill="auto"/>
            <w:noWrap/>
            <w:vAlign w:val="bottom"/>
            <w:hideMark/>
          </w:tcPr>
          <w:p w14:paraId="76CB45AB" w14:textId="77777777" w:rsidR="00E04ABD" w:rsidRPr="00721B07" w:rsidRDefault="00E04ABD" w:rsidP="00B0051B">
            <w:pPr>
              <w:jc w:val="right"/>
              <w:rPr>
                <w:rFonts w:ascii="Arial" w:hAnsi="Arial" w:cs="Arial"/>
                <w:color w:val="000000"/>
              </w:rPr>
            </w:pPr>
            <w:r w:rsidRPr="00721B07">
              <w:rPr>
                <w:rFonts w:ascii="Arial" w:hAnsi="Arial" w:cs="Arial"/>
                <w:color w:val="000000"/>
              </w:rPr>
              <w:t>0.445</w:t>
            </w:r>
          </w:p>
        </w:tc>
        <w:tc>
          <w:tcPr>
            <w:tcW w:w="1240" w:type="dxa"/>
            <w:tcBorders>
              <w:top w:val="nil"/>
              <w:left w:val="nil"/>
              <w:bottom w:val="single" w:sz="4" w:space="0" w:color="auto"/>
              <w:right w:val="single" w:sz="4" w:space="0" w:color="auto"/>
            </w:tcBorders>
            <w:shd w:val="clear" w:color="auto" w:fill="auto"/>
            <w:noWrap/>
            <w:vAlign w:val="bottom"/>
            <w:hideMark/>
          </w:tcPr>
          <w:p w14:paraId="6F3CB8F7" w14:textId="77777777" w:rsidR="00E04ABD" w:rsidRPr="00721B07" w:rsidRDefault="00E04ABD" w:rsidP="00B0051B">
            <w:pPr>
              <w:jc w:val="right"/>
              <w:rPr>
                <w:rFonts w:ascii="Arial" w:hAnsi="Arial" w:cs="Arial"/>
                <w:color w:val="000000"/>
              </w:rPr>
            </w:pPr>
            <w:r w:rsidRPr="00721B07">
              <w:rPr>
                <w:rFonts w:ascii="Arial" w:hAnsi="Arial" w:cs="Arial"/>
                <w:color w:val="000000"/>
              </w:rPr>
              <w:t>0.620</w:t>
            </w:r>
          </w:p>
        </w:tc>
      </w:tr>
      <w:tr w:rsidR="00E04ABD" w:rsidRPr="00721B07" w14:paraId="03C2B2FA"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91ECAEB" w14:textId="77777777" w:rsidR="00E04ABD" w:rsidRPr="00721B07" w:rsidRDefault="00E04ABD" w:rsidP="00B0051B">
            <w:pPr>
              <w:rPr>
                <w:rFonts w:ascii="Arial" w:hAnsi="Arial" w:cs="Arial"/>
                <w:color w:val="000000"/>
              </w:rPr>
            </w:pPr>
            <w:r w:rsidRPr="00721B07">
              <w:rPr>
                <w:rFonts w:ascii="Arial" w:hAnsi="Arial" w:cs="Arial"/>
                <w:color w:val="000000"/>
              </w:rPr>
              <w:t>Comorbidity: Urinary obstruction/retention</w:t>
            </w:r>
          </w:p>
        </w:tc>
        <w:tc>
          <w:tcPr>
            <w:tcW w:w="1457" w:type="dxa"/>
            <w:tcBorders>
              <w:top w:val="nil"/>
              <w:left w:val="nil"/>
              <w:bottom w:val="single" w:sz="4" w:space="0" w:color="auto"/>
              <w:right w:val="single" w:sz="4" w:space="0" w:color="auto"/>
            </w:tcBorders>
            <w:shd w:val="clear" w:color="auto" w:fill="auto"/>
            <w:noWrap/>
            <w:vAlign w:val="bottom"/>
            <w:hideMark/>
          </w:tcPr>
          <w:p w14:paraId="0D5B7BD5" w14:textId="77777777" w:rsidR="00E04ABD" w:rsidRPr="00721B07" w:rsidRDefault="00E04ABD" w:rsidP="00B0051B">
            <w:pPr>
              <w:jc w:val="right"/>
              <w:rPr>
                <w:rFonts w:ascii="Arial" w:hAnsi="Arial" w:cs="Arial"/>
                <w:color w:val="000000"/>
              </w:rPr>
            </w:pPr>
            <w:r w:rsidRPr="00721B07">
              <w:rPr>
                <w:rFonts w:ascii="Arial" w:hAnsi="Arial" w:cs="Arial"/>
                <w:color w:val="000000"/>
              </w:rPr>
              <w:t>-0.072</w:t>
            </w:r>
          </w:p>
        </w:tc>
        <w:tc>
          <w:tcPr>
            <w:tcW w:w="1240" w:type="dxa"/>
            <w:tcBorders>
              <w:top w:val="nil"/>
              <w:left w:val="nil"/>
              <w:bottom w:val="single" w:sz="4" w:space="0" w:color="auto"/>
              <w:right w:val="single" w:sz="4" w:space="0" w:color="auto"/>
            </w:tcBorders>
            <w:shd w:val="clear" w:color="auto" w:fill="auto"/>
            <w:noWrap/>
            <w:vAlign w:val="bottom"/>
            <w:hideMark/>
          </w:tcPr>
          <w:p w14:paraId="09AA416C" w14:textId="77777777" w:rsidR="00E04ABD" w:rsidRPr="00721B07" w:rsidRDefault="00E04ABD" w:rsidP="00B0051B">
            <w:pPr>
              <w:jc w:val="right"/>
              <w:rPr>
                <w:rFonts w:ascii="Arial" w:hAnsi="Arial" w:cs="Arial"/>
                <w:color w:val="000000"/>
              </w:rPr>
            </w:pPr>
            <w:r w:rsidRPr="00721B07">
              <w:rPr>
                <w:rFonts w:ascii="Arial" w:hAnsi="Arial" w:cs="Arial"/>
                <w:color w:val="000000"/>
              </w:rPr>
              <w:t>0.538</w:t>
            </w:r>
          </w:p>
        </w:tc>
        <w:tc>
          <w:tcPr>
            <w:tcW w:w="1240" w:type="dxa"/>
            <w:tcBorders>
              <w:top w:val="nil"/>
              <w:left w:val="nil"/>
              <w:bottom w:val="single" w:sz="4" w:space="0" w:color="auto"/>
              <w:right w:val="single" w:sz="4" w:space="0" w:color="auto"/>
            </w:tcBorders>
            <w:shd w:val="clear" w:color="auto" w:fill="auto"/>
            <w:noWrap/>
            <w:vAlign w:val="bottom"/>
            <w:hideMark/>
          </w:tcPr>
          <w:p w14:paraId="639C71B2" w14:textId="77777777" w:rsidR="00E04ABD" w:rsidRPr="00721B07" w:rsidRDefault="00E04ABD" w:rsidP="00B0051B">
            <w:pPr>
              <w:jc w:val="right"/>
              <w:rPr>
                <w:rFonts w:ascii="Arial" w:hAnsi="Arial" w:cs="Arial"/>
                <w:color w:val="000000"/>
              </w:rPr>
            </w:pPr>
            <w:r w:rsidRPr="00721B07">
              <w:rPr>
                <w:rFonts w:ascii="Arial" w:hAnsi="Arial" w:cs="Arial"/>
                <w:color w:val="000000"/>
              </w:rPr>
              <w:t>0.894</w:t>
            </w:r>
          </w:p>
        </w:tc>
      </w:tr>
      <w:tr w:rsidR="00E04ABD" w:rsidRPr="00721B07" w14:paraId="07450437" w14:textId="77777777" w:rsidTr="00D221E3">
        <w:trPr>
          <w:trHeight w:val="290"/>
        </w:trPr>
        <w:tc>
          <w:tcPr>
            <w:tcW w:w="6475" w:type="dxa"/>
            <w:tcBorders>
              <w:top w:val="nil"/>
              <w:left w:val="single" w:sz="4" w:space="0" w:color="auto"/>
              <w:bottom w:val="single" w:sz="4" w:space="0" w:color="auto"/>
              <w:right w:val="single" w:sz="4" w:space="0" w:color="auto"/>
            </w:tcBorders>
            <w:shd w:val="clear" w:color="auto" w:fill="auto"/>
            <w:noWrap/>
            <w:vAlign w:val="bottom"/>
            <w:hideMark/>
          </w:tcPr>
          <w:p w14:paraId="5F58D737" w14:textId="77777777" w:rsidR="00E04ABD" w:rsidRPr="00721B07" w:rsidRDefault="00E04ABD" w:rsidP="00B0051B">
            <w:pPr>
              <w:rPr>
                <w:rFonts w:ascii="Arial" w:hAnsi="Arial" w:cs="Arial"/>
                <w:color w:val="000000"/>
              </w:rPr>
            </w:pPr>
            <w:r w:rsidRPr="00721B07">
              <w:rPr>
                <w:rFonts w:ascii="Arial" w:hAnsi="Arial" w:cs="Arial"/>
                <w:color w:val="000000"/>
              </w:rPr>
              <w:t>Comorbidity: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6E45543C" w14:textId="77777777" w:rsidR="00E04ABD" w:rsidRPr="00721B07" w:rsidRDefault="00E04ABD" w:rsidP="00B0051B">
            <w:pPr>
              <w:jc w:val="right"/>
              <w:rPr>
                <w:rFonts w:ascii="Arial" w:hAnsi="Arial" w:cs="Arial"/>
                <w:color w:val="000000"/>
              </w:rPr>
            </w:pPr>
            <w:r w:rsidRPr="00721B07">
              <w:rPr>
                <w:rFonts w:ascii="Arial" w:hAnsi="Arial" w:cs="Arial"/>
                <w:color w:val="000000"/>
              </w:rPr>
              <w:t>-1.630</w:t>
            </w:r>
          </w:p>
        </w:tc>
        <w:tc>
          <w:tcPr>
            <w:tcW w:w="1240" w:type="dxa"/>
            <w:tcBorders>
              <w:top w:val="nil"/>
              <w:left w:val="nil"/>
              <w:bottom w:val="single" w:sz="4" w:space="0" w:color="auto"/>
              <w:right w:val="single" w:sz="4" w:space="0" w:color="auto"/>
            </w:tcBorders>
            <w:shd w:val="clear" w:color="auto" w:fill="auto"/>
            <w:noWrap/>
            <w:vAlign w:val="bottom"/>
            <w:hideMark/>
          </w:tcPr>
          <w:p w14:paraId="74BD7A47" w14:textId="77777777" w:rsidR="00E04ABD" w:rsidRPr="00721B07" w:rsidRDefault="00E04ABD" w:rsidP="00B0051B">
            <w:pPr>
              <w:jc w:val="right"/>
              <w:rPr>
                <w:rFonts w:ascii="Arial" w:hAnsi="Arial" w:cs="Arial"/>
                <w:color w:val="000000"/>
              </w:rPr>
            </w:pPr>
            <w:r w:rsidRPr="00721B07">
              <w:rPr>
                <w:rFonts w:ascii="Arial" w:hAnsi="Arial" w:cs="Arial"/>
                <w:color w:val="000000"/>
              </w:rPr>
              <w:t>0.571</w:t>
            </w:r>
          </w:p>
        </w:tc>
        <w:tc>
          <w:tcPr>
            <w:tcW w:w="1240" w:type="dxa"/>
            <w:tcBorders>
              <w:top w:val="nil"/>
              <w:left w:val="nil"/>
              <w:bottom w:val="single" w:sz="4" w:space="0" w:color="auto"/>
              <w:right w:val="single" w:sz="4" w:space="0" w:color="auto"/>
            </w:tcBorders>
            <w:shd w:val="clear" w:color="auto" w:fill="auto"/>
            <w:noWrap/>
            <w:vAlign w:val="bottom"/>
            <w:hideMark/>
          </w:tcPr>
          <w:p w14:paraId="2408F8FF" w14:textId="77777777" w:rsidR="00E04ABD" w:rsidRPr="00721B07" w:rsidRDefault="00E04ABD" w:rsidP="00B0051B">
            <w:pPr>
              <w:jc w:val="right"/>
              <w:rPr>
                <w:rFonts w:ascii="Arial" w:hAnsi="Arial" w:cs="Arial"/>
                <w:color w:val="000000"/>
              </w:rPr>
            </w:pPr>
            <w:r w:rsidRPr="00721B07">
              <w:rPr>
                <w:rFonts w:ascii="Arial" w:hAnsi="Arial" w:cs="Arial"/>
                <w:color w:val="000000"/>
              </w:rPr>
              <w:t>0.004</w:t>
            </w:r>
          </w:p>
        </w:tc>
      </w:tr>
    </w:tbl>
    <w:p w14:paraId="70681ED2" w14:textId="77777777" w:rsidR="00E7716C" w:rsidRDefault="00E7716C" w:rsidP="00383607">
      <w:pPr>
        <w:spacing w:after="0" w:line="240" w:lineRule="auto"/>
        <w:rPr>
          <w:rFonts w:ascii="Arial" w:hAnsi="Arial" w:cs="Arial"/>
          <w:sz w:val="22"/>
          <w:szCs w:val="22"/>
        </w:rPr>
      </w:pPr>
    </w:p>
    <w:p w14:paraId="7DBF6095" w14:textId="199B285C" w:rsidR="00E04ABD" w:rsidRPr="003F0046" w:rsidRDefault="00E04ABD" w:rsidP="00383607">
      <w:pPr>
        <w:spacing w:line="240" w:lineRule="auto"/>
        <w:rPr>
          <w:rFonts w:ascii="Arial" w:hAnsi="Arial" w:cs="Arial"/>
          <w:sz w:val="22"/>
          <w:szCs w:val="22"/>
        </w:rPr>
      </w:pPr>
      <w:r>
        <w:rPr>
          <w:rFonts w:ascii="Arial" w:hAnsi="Arial" w:cs="Arial"/>
          <w:sz w:val="22"/>
          <w:szCs w:val="22"/>
        </w:rPr>
        <w:t>R</w:t>
      </w:r>
      <w:r w:rsidRPr="004D5595">
        <w:rPr>
          <w:rFonts w:ascii="Arial" w:hAnsi="Arial" w:cs="Arial"/>
          <w:sz w:val="22"/>
          <w:szCs w:val="22"/>
          <w:vertAlign w:val="superscript"/>
        </w:rPr>
        <w:t>2</w:t>
      </w:r>
      <w:r>
        <w:rPr>
          <w:rFonts w:ascii="Arial" w:hAnsi="Arial" w:cs="Arial"/>
          <w:sz w:val="22"/>
          <w:szCs w:val="22"/>
        </w:rPr>
        <w:t>=0.25, n=6403</w:t>
      </w:r>
    </w:p>
    <w:p w14:paraId="31E93395" w14:textId="77777777" w:rsidR="00E04ABD" w:rsidRDefault="00E04ABD" w:rsidP="00E04ABD">
      <w:pPr>
        <w:rPr>
          <w:rFonts w:ascii="Arial" w:hAnsi="Arial" w:cs="Arial"/>
          <w:sz w:val="22"/>
          <w:szCs w:val="22"/>
        </w:rPr>
      </w:pPr>
      <w:r>
        <w:rPr>
          <w:rFonts w:ascii="Arial" w:hAnsi="Arial" w:cs="Arial"/>
          <w:sz w:val="22"/>
          <w:szCs w:val="22"/>
        </w:rPr>
        <w:br w:type="page"/>
      </w:r>
    </w:p>
    <w:p w14:paraId="5A6CB3EB" w14:textId="77777777" w:rsidR="00E04ABD" w:rsidRDefault="00E04ABD" w:rsidP="00E04ABD">
      <w:pPr>
        <w:rPr>
          <w:rFonts w:ascii="Arial" w:hAnsi="Arial" w:cs="Arial"/>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3:</w:t>
      </w:r>
      <w:r w:rsidRPr="003F0046">
        <w:rPr>
          <w:rFonts w:ascii="Arial" w:hAnsi="Arial" w:cs="Arial"/>
          <w:sz w:val="22"/>
          <w:szCs w:val="22"/>
        </w:rPr>
        <w:t xml:space="preserve"> </w:t>
      </w:r>
      <w:r w:rsidRPr="004A622E">
        <w:rPr>
          <w:rFonts w:ascii="Arial" w:hAnsi="Arial" w:cs="Arial"/>
          <w:b/>
          <w:sz w:val="22"/>
          <w:szCs w:val="22"/>
        </w:rPr>
        <w:t>Risk adjustors for the mobility model</w:t>
      </w:r>
    </w:p>
    <w:p w14:paraId="173F2194" w14:textId="77777777" w:rsidR="00E04ABD" w:rsidRPr="003F0046" w:rsidRDefault="00E04ABD" w:rsidP="00E04ABD">
      <w:pPr>
        <w:rPr>
          <w:rFonts w:ascii="Arial" w:hAnsi="Arial" w:cs="Arial"/>
          <w:sz w:val="22"/>
          <w:szCs w:val="22"/>
        </w:rPr>
      </w:pPr>
    </w:p>
    <w:tbl>
      <w:tblPr>
        <w:tblW w:w="10502" w:type="dxa"/>
        <w:tblLook w:val="04A0" w:firstRow="1" w:lastRow="0" w:firstColumn="1" w:lastColumn="0" w:noHBand="0" w:noVBand="1"/>
      </w:tblPr>
      <w:tblGrid>
        <w:gridCol w:w="6565"/>
        <w:gridCol w:w="1457"/>
        <w:gridCol w:w="1240"/>
        <w:gridCol w:w="1240"/>
      </w:tblGrid>
      <w:tr w:rsidR="00E04ABD" w:rsidRPr="00721B07" w14:paraId="19BC8616" w14:textId="77777777" w:rsidTr="00D221E3">
        <w:trPr>
          <w:trHeight w:val="290"/>
          <w:tblHeader/>
        </w:trPr>
        <w:tc>
          <w:tcPr>
            <w:tcW w:w="6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7F11F"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Variable</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21EA219B"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Coefficient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E180E27"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SE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BE3B5A6" w14:textId="77777777" w:rsidR="00E04ABD" w:rsidRPr="00721B07" w:rsidRDefault="00E04ABD" w:rsidP="00B0051B">
            <w:pPr>
              <w:jc w:val="center"/>
              <w:rPr>
                <w:rFonts w:ascii="Arial" w:hAnsi="Arial" w:cs="Arial"/>
                <w:b/>
                <w:bCs/>
                <w:color w:val="000000"/>
              </w:rPr>
            </w:pPr>
            <w:r w:rsidRPr="00721B07">
              <w:rPr>
                <w:rFonts w:ascii="Arial" w:hAnsi="Arial" w:cs="Arial"/>
                <w:b/>
                <w:bCs/>
                <w:color w:val="000000"/>
              </w:rPr>
              <w:t>p-value</w:t>
            </w:r>
          </w:p>
        </w:tc>
      </w:tr>
      <w:tr w:rsidR="00E04ABD" w:rsidRPr="00721B07" w14:paraId="046221F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070B94E" w14:textId="77777777" w:rsidR="00E04ABD" w:rsidRPr="00721B07" w:rsidRDefault="00E04ABD" w:rsidP="00B0051B">
            <w:pPr>
              <w:rPr>
                <w:rFonts w:ascii="Arial" w:hAnsi="Arial" w:cs="Arial"/>
                <w:color w:val="000000"/>
              </w:rPr>
            </w:pPr>
            <w:r w:rsidRPr="00721B07">
              <w:rPr>
                <w:rFonts w:ascii="Arial" w:hAnsi="Arial" w:cs="Arial"/>
                <w:color w:val="000000"/>
              </w:rPr>
              <w:t>Intercept</w:t>
            </w:r>
          </w:p>
        </w:tc>
        <w:tc>
          <w:tcPr>
            <w:tcW w:w="1457" w:type="dxa"/>
            <w:tcBorders>
              <w:top w:val="nil"/>
              <w:left w:val="nil"/>
              <w:bottom w:val="single" w:sz="4" w:space="0" w:color="auto"/>
              <w:right w:val="single" w:sz="4" w:space="0" w:color="auto"/>
            </w:tcBorders>
            <w:shd w:val="clear" w:color="auto" w:fill="auto"/>
            <w:noWrap/>
            <w:vAlign w:val="bottom"/>
            <w:hideMark/>
          </w:tcPr>
          <w:p w14:paraId="2F81D1D5" w14:textId="77777777" w:rsidR="00E04ABD" w:rsidRPr="00721B07" w:rsidRDefault="00E04ABD" w:rsidP="00B0051B">
            <w:pPr>
              <w:jc w:val="right"/>
              <w:rPr>
                <w:rFonts w:ascii="Arial" w:hAnsi="Arial" w:cs="Arial"/>
                <w:color w:val="000000"/>
              </w:rPr>
            </w:pPr>
            <w:r w:rsidRPr="00721B07">
              <w:rPr>
                <w:rFonts w:ascii="Arial" w:hAnsi="Arial" w:cs="Arial"/>
                <w:color w:val="000000"/>
              </w:rPr>
              <w:t>23.873</w:t>
            </w:r>
          </w:p>
        </w:tc>
        <w:tc>
          <w:tcPr>
            <w:tcW w:w="1240" w:type="dxa"/>
            <w:tcBorders>
              <w:top w:val="nil"/>
              <w:left w:val="nil"/>
              <w:bottom w:val="single" w:sz="4" w:space="0" w:color="auto"/>
              <w:right w:val="single" w:sz="4" w:space="0" w:color="auto"/>
            </w:tcBorders>
            <w:shd w:val="clear" w:color="auto" w:fill="auto"/>
            <w:noWrap/>
            <w:vAlign w:val="bottom"/>
            <w:hideMark/>
          </w:tcPr>
          <w:p w14:paraId="225BB2D2" w14:textId="77777777" w:rsidR="00E04ABD" w:rsidRPr="00721B07" w:rsidRDefault="00E04ABD" w:rsidP="00B0051B">
            <w:pPr>
              <w:jc w:val="right"/>
              <w:rPr>
                <w:rFonts w:ascii="Arial" w:hAnsi="Arial" w:cs="Arial"/>
                <w:color w:val="000000"/>
              </w:rPr>
            </w:pPr>
            <w:r w:rsidRPr="00721B07">
              <w:rPr>
                <w:rFonts w:ascii="Arial" w:hAnsi="Arial" w:cs="Arial"/>
                <w:color w:val="000000"/>
              </w:rPr>
              <w:t>2.016</w:t>
            </w:r>
          </w:p>
        </w:tc>
        <w:tc>
          <w:tcPr>
            <w:tcW w:w="1240" w:type="dxa"/>
            <w:tcBorders>
              <w:top w:val="nil"/>
              <w:left w:val="nil"/>
              <w:bottom w:val="single" w:sz="4" w:space="0" w:color="auto"/>
              <w:right w:val="single" w:sz="4" w:space="0" w:color="auto"/>
            </w:tcBorders>
            <w:shd w:val="clear" w:color="auto" w:fill="auto"/>
            <w:noWrap/>
            <w:vAlign w:val="bottom"/>
            <w:hideMark/>
          </w:tcPr>
          <w:p w14:paraId="32E7DEFB"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63F27B6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3BDF851" w14:textId="77777777" w:rsidR="00E04ABD" w:rsidRPr="00721B07" w:rsidRDefault="00E04ABD" w:rsidP="00B0051B">
            <w:pPr>
              <w:rPr>
                <w:rFonts w:ascii="Arial" w:hAnsi="Arial" w:cs="Arial"/>
                <w:color w:val="000000"/>
              </w:rPr>
            </w:pPr>
            <w:r w:rsidRPr="00721B07">
              <w:rPr>
                <w:rFonts w:ascii="Arial" w:hAnsi="Arial" w:cs="Arial"/>
                <w:color w:val="000000"/>
              </w:rPr>
              <w:t>Younger than 35</w:t>
            </w:r>
          </w:p>
        </w:tc>
        <w:tc>
          <w:tcPr>
            <w:tcW w:w="1457" w:type="dxa"/>
            <w:tcBorders>
              <w:top w:val="nil"/>
              <w:left w:val="nil"/>
              <w:bottom w:val="single" w:sz="4" w:space="0" w:color="auto"/>
              <w:right w:val="single" w:sz="4" w:space="0" w:color="auto"/>
            </w:tcBorders>
            <w:shd w:val="clear" w:color="auto" w:fill="auto"/>
            <w:noWrap/>
            <w:vAlign w:val="bottom"/>
            <w:hideMark/>
          </w:tcPr>
          <w:p w14:paraId="69EC115E" w14:textId="77777777" w:rsidR="00E04ABD" w:rsidRPr="00721B07" w:rsidRDefault="00E04ABD" w:rsidP="00B0051B">
            <w:pPr>
              <w:jc w:val="right"/>
              <w:rPr>
                <w:rFonts w:ascii="Arial" w:hAnsi="Arial" w:cs="Arial"/>
                <w:color w:val="000000"/>
              </w:rPr>
            </w:pPr>
            <w:r w:rsidRPr="00721B07">
              <w:rPr>
                <w:rFonts w:ascii="Arial" w:hAnsi="Arial" w:cs="Arial"/>
                <w:color w:val="000000"/>
              </w:rPr>
              <w:t>0.222</w:t>
            </w:r>
          </w:p>
        </w:tc>
        <w:tc>
          <w:tcPr>
            <w:tcW w:w="1240" w:type="dxa"/>
            <w:tcBorders>
              <w:top w:val="nil"/>
              <w:left w:val="nil"/>
              <w:bottom w:val="single" w:sz="4" w:space="0" w:color="auto"/>
              <w:right w:val="single" w:sz="4" w:space="0" w:color="auto"/>
            </w:tcBorders>
            <w:shd w:val="clear" w:color="auto" w:fill="auto"/>
            <w:noWrap/>
            <w:vAlign w:val="bottom"/>
            <w:hideMark/>
          </w:tcPr>
          <w:p w14:paraId="20632A1A" w14:textId="77777777" w:rsidR="00E04ABD" w:rsidRPr="00721B07" w:rsidRDefault="00E04ABD" w:rsidP="00B0051B">
            <w:pPr>
              <w:jc w:val="right"/>
              <w:rPr>
                <w:rFonts w:ascii="Arial" w:hAnsi="Arial" w:cs="Arial"/>
                <w:color w:val="000000"/>
              </w:rPr>
            </w:pPr>
            <w:r w:rsidRPr="00721B07">
              <w:rPr>
                <w:rFonts w:ascii="Arial" w:hAnsi="Arial" w:cs="Arial"/>
                <w:color w:val="000000"/>
              </w:rPr>
              <w:t>3.285</w:t>
            </w:r>
          </w:p>
        </w:tc>
        <w:tc>
          <w:tcPr>
            <w:tcW w:w="1240" w:type="dxa"/>
            <w:tcBorders>
              <w:top w:val="nil"/>
              <w:left w:val="nil"/>
              <w:bottom w:val="single" w:sz="4" w:space="0" w:color="auto"/>
              <w:right w:val="single" w:sz="4" w:space="0" w:color="auto"/>
            </w:tcBorders>
            <w:shd w:val="clear" w:color="auto" w:fill="auto"/>
            <w:noWrap/>
            <w:vAlign w:val="bottom"/>
            <w:hideMark/>
          </w:tcPr>
          <w:p w14:paraId="1752F0F4" w14:textId="77777777" w:rsidR="00E04ABD" w:rsidRPr="00721B07" w:rsidRDefault="00E04ABD" w:rsidP="00B0051B">
            <w:pPr>
              <w:jc w:val="right"/>
              <w:rPr>
                <w:rFonts w:ascii="Arial" w:hAnsi="Arial" w:cs="Arial"/>
                <w:color w:val="000000"/>
              </w:rPr>
            </w:pPr>
            <w:r w:rsidRPr="00721B07">
              <w:rPr>
                <w:rFonts w:ascii="Arial" w:hAnsi="Arial" w:cs="Arial"/>
                <w:color w:val="000000"/>
              </w:rPr>
              <w:t>0.946</w:t>
            </w:r>
          </w:p>
        </w:tc>
      </w:tr>
      <w:tr w:rsidR="00E04ABD" w:rsidRPr="00721B07" w14:paraId="6B3AD6B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8744806" w14:textId="77777777" w:rsidR="00E04ABD" w:rsidRPr="00721B07" w:rsidRDefault="00E04ABD" w:rsidP="00B0051B">
            <w:pPr>
              <w:rPr>
                <w:rFonts w:ascii="Arial" w:hAnsi="Arial" w:cs="Arial"/>
                <w:color w:val="000000"/>
              </w:rPr>
            </w:pPr>
            <w:r w:rsidRPr="00721B07">
              <w:rPr>
                <w:rFonts w:ascii="Arial" w:hAnsi="Arial" w:cs="Arial"/>
                <w:color w:val="000000"/>
              </w:rPr>
              <w:t>35-44</w:t>
            </w:r>
          </w:p>
        </w:tc>
        <w:tc>
          <w:tcPr>
            <w:tcW w:w="1457" w:type="dxa"/>
            <w:tcBorders>
              <w:top w:val="nil"/>
              <w:left w:val="nil"/>
              <w:bottom w:val="single" w:sz="4" w:space="0" w:color="auto"/>
              <w:right w:val="single" w:sz="4" w:space="0" w:color="auto"/>
            </w:tcBorders>
            <w:shd w:val="clear" w:color="auto" w:fill="auto"/>
            <w:noWrap/>
            <w:vAlign w:val="bottom"/>
            <w:hideMark/>
          </w:tcPr>
          <w:p w14:paraId="4FFBFDD2" w14:textId="77777777" w:rsidR="00E04ABD" w:rsidRPr="00721B07" w:rsidRDefault="00E04ABD" w:rsidP="00B0051B">
            <w:pPr>
              <w:jc w:val="right"/>
              <w:rPr>
                <w:rFonts w:ascii="Arial" w:hAnsi="Arial" w:cs="Arial"/>
                <w:color w:val="000000"/>
              </w:rPr>
            </w:pPr>
            <w:r w:rsidRPr="00721B07">
              <w:rPr>
                <w:rFonts w:ascii="Arial" w:hAnsi="Arial" w:cs="Arial"/>
                <w:color w:val="000000"/>
              </w:rPr>
              <w:t>-0.757</w:t>
            </w:r>
          </w:p>
        </w:tc>
        <w:tc>
          <w:tcPr>
            <w:tcW w:w="1240" w:type="dxa"/>
            <w:tcBorders>
              <w:top w:val="nil"/>
              <w:left w:val="nil"/>
              <w:bottom w:val="single" w:sz="4" w:space="0" w:color="auto"/>
              <w:right w:val="single" w:sz="4" w:space="0" w:color="auto"/>
            </w:tcBorders>
            <w:shd w:val="clear" w:color="auto" w:fill="auto"/>
            <w:noWrap/>
            <w:vAlign w:val="bottom"/>
            <w:hideMark/>
          </w:tcPr>
          <w:p w14:paraId="114553DC" w14:textId="77777777" w:rsidR="00E04ABD" w:rsidRPr="00721B07" w:rsidRDefault="00E04ABD" w:rsidP="00B0051B">
            <w:pPr>
              <w:jc w:val="right"/>
              <w:rPr>
                <w:rFonts w:ascii="Arial" w:hAnsi="Arial" w:cs="Arial"/>
                <w:color w:val="000000"/>
              </w:rPr>
            </w:pPr>
            <w:r w:rsidRPr="00721B07">
              <w:rPr>
                <w:rFonts w:ascii="Arial" w:hAnsi="Arial" w:cs="Arial"/>
                <w:color w:val="000000"/>
              </w:rPr>
              <w:t>2.743</w:t>
            </w:r>
          </w:p>
        </w:tc>
        <w:tc>
          <w:tcPr>
            <w:tcW w:w="1240" w:type="dxa"/>
            <w:tcBorders>
              <w:top w:val="nil"/>
              <w:left w:val="nil"/>
              <w:bottom w:val="single" w:sz="4" w:space="0" w:color="auto"/>
              <w:right w:val="single" w:sz="4" w:space="0" w:color="auto"/>
            </w:tcBorders>
            <w:shd w:val="clear" w:color="auto" w:fill="auto"/>
            <w:noWrap/>
            <w:vAlign w:val="bottom"/>
            <w:hideMark/>
          </w:tcPr>
          <w:p w14:paraId="2BAEC7FC" w14:textId="77777777" w:rsidR="00E04ABD" w:rsidRPr="00721B07" w:rsidRDefault="00E04ABD" w:rsidP="00B0051B">
            <w:pPr>
              <w:jc w:val="right"/>
              <w:rPr>
                <w:rFonts w:ascii="Arial" w:hAnsi="Arial" w:cs="Arial"/>
                <w:color w:val="000000"/>
              </w:rPr>
            </w:pPr>
            <w:r w:rsidRPr="00721B07">
              <w:rPr>
                <w:rFonts w:ascii="Arial" w:hAnsi="Arial" w:cs="Arial"/>
                <w:color w:val="000000"/>
              </w:rPr>
              <w:t>0.782</w:t>
            </w:r>
          </w:p>
        </w:tc>
      </w:tr>
      <w:tr w:rsidR="00E04ABD" w:rsidRPr="00721B07" w14:paraId="442ABF2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B4B8E28" w14:textId="77777777" w:rsidR="00E04ABD" w:rsidRPr="00721B07" w:rsidRDefault="00E04ABD" w:rsidP="00B0051B">
            <w:pPr>
              <w:rPr>
                <w:rFonts w:ascii="Arial" w:hAnsi="Arial" w:cs="Arial"/>
                <w:color w:val="000000"/>
              </w:rPr>
            </w:pPr>
            <w:r w:rsidRPr="00721B07">
              <w:rPr>
                <w:rFonts w:ascii="Arial" w:hAnsi="Arial" w:cs="Arial"/>
                <w:color w:val="000000"/>
              </w:rPr>
              <w:t>45-54</w:t>
            </w:r>
          </w:p>
        </w:tc>
        <w:tc>
          <w:tcPr>
            <w:tcW w:w="1457" w:type="dxa"/>
            <w:tcBorders>
              <w:top w:val="nil"/>
              <w:left w:val="nil"/>
              <w:bottom w:val="single" w:sz="4" w:space="0" w:color="auto"/>
              <w:right w:val="single" w:sz="4" w:space="0" w:color="auto"/>
            </w:tcBorders>
            <w:shd w:val="clear" w:color="auto" w:fill="auto"/>
            <w:noWrap/>
            <w:vAlign w:val="bottom"/>
            <w:hideMark/>
          </w:tcPr>
          <w:p w14:paraId="2C997B8F" w14:textId="77777777" w:rsidR="00E04ABD" w:rsidRPr="00721B07" w:rsidRDefault="00E04ABD" w:rsidP="00B0051B">
            <w:pPr>
              <w:jc w:val="right"/>
              <w:rPr>
                <w:rFonts w:ascii="Arial" w:hAnsi="Arial" w:cs="Arial"/>
                <w:color w:val="000000"/>
              </w:rPr>
            </w:pPr>
            <w:r w:rsidRPr="00721B07">
              <w:rPr>
                <w:rFonts w:ascii="Arial" w:hAnsi="Arial" w:cs="Arial"/>
                <w:color w:val="000000"/>
              </w:rPr>
              <w:t>0.969</w:t>
            </w:r>
          </w:p>
        </w:tc>
        <w:tc>
          <w:tcPr>
            <w:tcW w:w="1240" w:type="dxa"/>
            <w:tcBorders>
              <w:top w:val="nil"/>
              <w:left w:val="nil"/>
              <w:bottom w:val="single" w:sz="4" w:space="0" w:color="auto"/>
              <w:right w:val="single" w:sz="4" w:space="0" w:color="auto"/>
            </w:tcBorders>
            <w:shd w:val="clear" w:color="auto" w:fill="auto"/>
            <w:noWrap/>
            <w:vAlign w:val="bottom"/>
            <w:hideMark/>
          </w:tcPr>
          <w:p w14:paraId="1725ED6D" w14:textId="77777777" w:rsidR="00E04ABD" w:rsidRPr="00721B07" w:rsidRDefault="00E04ABD" w:rsidP="00B0051B">
            <w:pPr>
              <w:jc w:val="right"/>
              <w:rPr>
                <w:rFonts w:ascii="Arial" w:hAnsi="Arial" w:cs="Arial"/>
                <w:color w:val="000000"/>
              </w:rPr>
            </w:pPr>
            <w:r w:rsidRPr="00721B07">
              <w:rPr>
                <w:rFonts w:ascii="Arial" w:hAnsi="Arial" w:cs="Arial"/>
                <w:color w:val="000000"/>
              </w:rPr>
              <w:t>1.135</w:t>
            </w:r>
          </w:p>
        </w:tc>
        <w:tc>
          <w:tcPr>
            <w:tcW w:w="1240" w:type="dxa"/>
            <w:tcBorders>
              <w:top w:val="nil"/>
              <w:left w:val="nil"/>
              <w:bottom w:val="single" w:sz="4" w:space="0" w:color="auto"/>
              <w:right w:val="single" w:sz="4" w:space="0" w:color="auto"/>
            </w:tcBorders>
            <w:shd w:val="clear" w:color="auto" w:fill="auto"/>
            <w:noWrap/>
            <w:vAlign w:val="bottom"/>
            <w:hideMark/>
          </w:tcPr>
          <w:p w14:paraId="25122539" w14:textId="77777777" w:rsidR="00E04ABD" w:rsidRPr="00721B07" w:rsidRDefault="00E04ABD" w:rsidP="00B0051B">
            <w:pPr>
              <w:jc w:val="right"/>
              <w:rPr>
                <w:rFonts w:ascii="Arial" w:hAnsi="Arial" w:cs="Arial"/>
                <w:color w:val="000000"/>
              </w:rPr>
            </w:pPr>
            <w:r w:rsidRPr="00721B07">
              <w:rPr>
                <w:rFonts w:ascii="Arial" w:hAnsi="Arial" w:cs="Arial"/>
                <w:color w:val="000000"/>
              </w:rPr>
              <w:t>0.393</w:t>
            </w:r>
          </w:p>
        </w:tc>
      </w:tr>
      <w:tr w:rsidR="00E04ABD" w:rsidRPr="00721B07" w14:paraId="0F8E529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6F3B433" w14:textId="77777777" w:rsidR="00E04ABD" w:rsidRPr="00721B07" w:rsidRDefault="00E04ABD" w:rsidP="00B0051B">
            <w:pPr>
              <w:rPr>
                <w:rFonts w:ascii="Arial" w:hAnsi="Arial" w:cs="Arial"/>
                <w:color w:val="000000"/>
              </w:rPr>
            </w:pPr>
            <w:r w:rsidRPr="00721B07">
              <w:rPr>
                <w:rFonts w:ascii="Arial" w:hAnsi="Arial" w:cs="Arial"/>
                <w:color w:val="000000"/>
              </w:rPr>
              <w:t>55-64</w:t>
            </w:r>
          </w:p>
        </w:tc>
        <w:tc>
          <w:tcPr>
            <w:tcW w:w="1457" w:type="dxa"/>
            <w:tcBorders>
              <w:top w:val="nil"/>
              <w:left w:val="nil"/>
              <w:bottom w:val="single" w:sz="4" w:space="0" w:color="auto"/>
              <w:right w:val="single" w:sz="4" w:space="0" w:color="auto"/>
            </w:tcBorders>
            <w:shd w:val="clear" w:color="auto" w:fill="auto"/>
            <w:noWrap/>
            <w:vAlign w:val="bottom"/>
            <w:hideMark/>
          </w:tcPr>
          <w:p w14:paraId="3E54E67D" w14:textId="77777777" w:rsidR="00E04ABD" w:rsidRPr="00721B07" w:rsidRDefault="00E04ABD" w:rsidP="00B0051B">
            <w:pPr>
              <w:jc w:val="right"/>
              <w:rPr>
                <w:rFonts w:ascii="Arial" w:hAnsi="Arial" w:cs="Arial"/>
                <w:color w:val="000000"/>
              </w:rPr>
            </w:pPr>
            <w:r w:rsidRPr="00721B07">
              <w:rPr>
                <w:rFonts w:ascii="Arial" w:hAnsi="Arial" w:cs="Arial"/>
                <w:color w:val="000000"/>
              </w:rPr>
              <w:t>-0.467</w:t>
            </w:r>
          </w:p>
        </w:tc>
        <w:tc>
          <w:tcPr>
            <w:tcW w:w="1240" w:type="dxa"/>
            <w:tcBorders>
              <w:top w:val="nil"/>
              <w:left w:val="nil"/>
              <w:bottom w:val="single" w:sz="4" w:space="0" w:color="auto"/>
              <w:right w:val="single" w:sz="4" w:space="0" w:color="auto"/>
            </w:tcBorders>
            <w:shd w:val="clear" w:color="auto" w:fill="auto"/>
            <w:noWrap/>
            <w:vAlign w:val="bottom"/>
            <w:hideMark/>
          </w:tcPr>
          <w:p w14:paraId="5A1B1AB5" w14:textId="77777777" w:rsidR="00E04ABD" w:rsidRPr="00721B07" w:rsidRDefault="00E04ABD" w:rsidP="00B0051B">
            <w:pPr>
              <w:jc w:val="right"/>
              <w:rPr>
                <w:rFonts w:ascii="Arial" w:hAnsi="Arial" w:cs="Arial"/>
                <w:color w:val="000000"/>
              </w:rPr>
            </w:pPr>
            <w:r w:rsidRPr="00721B07">
              <w:rPr>
                <w:rFonts w:ascii="Arial" w:hAnsi="Arial" w:cs="Arial"/>
                <w:color w:val="000000"/>
              </w:rPr>
              <w:t>0.715</w:t>
            </w:r>
          </w:p>
        </w:tc>
        <w:tc>
          <w:tcPr>
            <w:tcW w:w="1240" w:type="dxa"/>
            <w:tcBorders>
              <w:top w:val="nil"/>
              <w:left w:val="nil"/>
              <w:bottom w:val="single" w:sz="4" w:space="0" w:color="auto"/>
              <w:right w:val="single" w:sz="4" w:space="0" w:color="auto"/>
            </w:tcBorders>
            <w:shd w:val="clear" w:color="auto" w:fill="auto"/>
            <w:noWrap/>
            <w:vAlign w:val="bottom"/>
            <w:hideMark/>
          </w:tcPr>
          <w:p w14:paraId="5CDC6EAA" w14:textId="77777777" w:rsidR="00E04ABD" w:rsidRPr="00721B07" w:rsidRDefault="00E04ABD" w:rsidP="00B0051B">
            <w:pPr>
              <w:jc w:val="right"/>
              <w:rPr>
                <w:rFonts w:ascii="Arial" w:hAnsi="Arial" w:cs="Arial"/>
                <w:color w:val="000000"/>
              </w:rPr>
            </w:pPr>
            <w:r w:rsidRPr="00721B07">
              <w:rPr>
                <w:rFonts w:ascii="Arial" w:hAnsi="Arial" w:cs="Arial"/>
                <w:color w:val="000000"/>
              </w:rPr>
              <w:t>0.514</w:t>
            </w:r>
          </w:p>
        </w:tc>
      </w:tr>
      <w:tr w:rsidR="00E04ABD" w:rsidRPr="00721B07" w14:paraId="110FD06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20334BC" w14:textId="77777777" w:rsidR="00E04ABD" w:rsidRPr="00721B07" w:rsidRDefault="00E04ABD" w:rsidP="00B0051B">
            <w:pPr>
              <w:rPr>
                <w:rFonts w:ascii="Arial" w:hAnsi="Arial" w:cs="Arial"/>
                <w:color w:val="000000"/>
              </w:rPr>
            </w:pPr>
            <w:r w:rsidRPr="00721B07">
              <w:rPr>
                <w:rFonts w:ascii="Arial" w:hAnsi="Arial" w:cs="Arial"/>
                <w:color w:val="000000"/>
              </w:rPr>
              <w:t>75-84</w:t>
            </w:r>
          </w:p>
        </w:tc>
        <w:tc>
          <w:tcPr>
            <w:tcW w:w="1457" w:type="dxa"/>
            <w:tcBorders>
              <w:top w:val="nil"/>
              <w:left w:val="nil"/>
              <w:bottom w:val="single" w:sz="4" w:space="0" w:color="auto"/>
              <w:right w:val="single" w:sz="4" w:space="0" w:color="auto"/>
            </w:tcBorders>
            <w:shd w:val="clear" w:color="auto" w:fill="auto"/>
            <w:noWrap/>
            <w:vAlign w:val="bottom"/>
            <w:hideMark/>
          </w:tcPr>
          <w:p w14:paraId="300AEDE2" w14:textId="77777777" w:rsidR="00E04ABD" w:rsidRPr="00721B07" w:rsidRDefault="00E04ABD" w:rsidP="00B0051B">
            <w:pPr>
              <w:jc w:val="right"/>
              <w:rPr>
                <w:rFonts w:ascii="Arial" w:hAnsi="Arial" w:cs="Arial"/>
                <w:color w:val="000000"/>
              </w:rPr>
            </w:pPr>
            <w:r w:rsidRPr="00721B07">
              <w:rPr>
                <w:rFonts w:ascii="Arial" w:hAnsi="Arial" w:cs="Arial"/>
                <w:color w:val="000000"/>
              </w:rPr>
              <w:t>-1.268</w:t>
            </w:r>
          </w:p>
        </w:tc>
        <w:tc>
          <w:tcPr>
            <w:tcW w:w="1240" w:type="dxa"/>
            <w:tcBorders>
              <w:top w:val="nil"/>
              <w:left w:val="nil"/>
              <w:bottom w:val="single" w:sz="4" w:space="0" w:color="auto"/>
              <w:right w:val="single" w:sz="4" w:space="0" w:color="auto"/>
            </w:tcBorders>
            <w:shd w:val="clear" w:color="auto" w:fill="auto"/>
            <w:noWrap/>
            <w:vAlign w:val="bottom"/>
            <w:hideMark/>
          </w:tcPr>
          <w:p w14:paraId="2E54CBEC" w14:textId="77777777" w:rsidR="00E04ABD" w:rsidRPr="00721B07" w:rsidRDefault="00E04ABD" w:rsidP="00B0051B">
            <w:pPr>
              <w:jc w:val="right"/>
              <w:rPr>
                <w:rFonts w:ascii="Arial" w:hAnsi="Arial" w:cs="Arial"/>
                <w:color w:val="000000"/>
              </w:rPr>
            </w:pPr>
            <w:r w:rsidRPr="00721B07">
              <w:rPr>
                <w:rFonts w:ascii="Arial" w:hAnsi="Arial" w:cs="Arial"/>
                <w:color w:val="000000"/>
              </w:rPr>
              <w:t>0.471</w:t>
            </w:r>
          </w:p>
        </w:tc>
        <w:tc>
          <w:tcPr>
            <w:tcW w:w="1240" w:type="dxa"/>
            <w:tcBorders>
              <w:top w:val="nil"/>
              <w:left w:val="nil"/>
              <w:bottom w:val="single" w:sz="4" w:space="0" w:color="auto"/>
              <w:right w:val="single" w:sz="4" w:space="0" w:color="auto"/>
            </w:tcBorders>
            <w:shd w:val="clear" w:color="auto" w:fill="auto"/>
            <w:noWrap/>
            <w:vAlign w:val="bottom"/>
            <w:hideMark/>
          </w:tcPr>
          <w:p w14:paraId="061FE7E4" w14:textId="77777777" w:rsidR="00E04ABD" w:rsidRPr="00721B07" w:rsidRDefault="00E04ABD" w:rsidP="00B0051B">
            <w:pPr>
              <w:jc w:val="right"/>
              <w:rPr>
                <w:rFonts w:ascii="Arial" w:hAnsi="Arial" w:cs="Arial"/>
                <w:color w:val="000000"/>
              </w:rPr>
            </w:pPr>
            <w:r w:rsidRPr="00721B07">
              <w:rPr>
                <w:rFonts w:ascii="Arial" w:hAnsi="Arial" w:cs="Arial"/>
                <w:color w:val="000000"/>
              </w:rPr>
              <w:t>0.007</w:t>
            </w:r>
          </w:p>
        </w:tc>
      </w:tr>
      <w:tr w:rsidR="00E04ABD" w:rsidRPr="00721B07" w14:paraId="3FC56E5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6BB9AB9" w14:textId="77777777" w:rsidR="00E04ABD" w:rsidRPr="00721B07" w:rsidRDefault="00E04ABD" w:rsidP="00B0051B">
            <w:pPr>
              <w:rPr>
                <w:rFonts w:ascii="Arial" w:hAnsi="Arial" w:cs="Arial"/>
                <w:color w:val="000000"/>
              </w:rPr>
            </w:pPr>
            <w:r w:rsidRPr="00721B07">
              <w:rPr>
                <w:rFonts w:ascii="Arial" w:hAnsi="Arial" w:cs="Arial"/>
                <w:color w:val="000000"/>
              </w:rPr>
              <w:t>85-90</w:t>
            </w:r>
          </w:p>
        </w:tc>
        <w:tc>
          <w:tcPr>
            <w:tcW w:w="1457" w:type="dxa"/>
            <w:tcBorders>
              <w:top w:val="nil"/>
              <w:left w:val="nil"/>
              <w:bottom w:val="single" w:sz="4" w:space="0" w:color="auto"/>
              <w:right w:val="single" w:sz="4" w:space="0" w:color="auto"/>
            </w:tcBorders>
            <w:shd w:val="clear" w:color="auto" w:fill="auto"/>
            <w:noWrap/>
            <w:vAlign w:val="bottom"/>
            <w:hideMark/>
          </w:tcPr>
          <w:p w14:paraId="062B7CBC" w14:textId="77777777" w:rsidR="00E04ABD" w:rsidRPr="00721B07" w:rsidRDefault="00E04ABD" w:rsidP="00B0051B">
            <w:pPr>
              <w:jc w:val="right"/>
              <w:rPr>
                <w:rFonts w:ascii="Arial" w:hAnsi="Arial" w:cs="Arial"/>
                <w:color w:val="000000"/>
              </w:rPr>
            </w:pPr>
            <w:r w:rsidRPr="00721B07">
              <w:rPr>
                <w:rFonts w:ascii="Arial" w:hAnsi="Arial" w:cs="Arial"/>
                <w:color w:val="000000"/>
              </w:rPr>
              <w:t>-2.331</w:t>
            </w:r>
          </w:p>
        </w:tc>
        <w:tc>
          <w:tcPr>
            <w:tcW w:w="1240" w:type="dxa"/>
            <w:tcBorders>
              <w:top w:val="nil"/>
              <w:left w:val="nil"/>
              <w:bottom w:val="single" w:sz="4" w:space="0" w:color="auto"/>
              <w:right w:val="single" w:sz="4" w:space="0" w:color="auto"/>
            </w:tcBorders>
            <w:shd w:val="clear" w:color="auto" w:fill="auto"/>
            <w:noWrap/>
            <w:vAlign w:val="bottom"/>
            <w:hideMark/>
          </w:tcPr>
          <w:p w14:paraId="4D5CDD63" w14:textId="77777777" w:rsidR="00E04ABD" w:rsidRPr="00721B07" w:rsidRDefault="00E04ABD" w:rsidP="00B0051B">
            <w:pPr>
              <w:jc w:val="right"/>
              <w:rPr>
                <w:rFonts w:ascii="Arial" w:hAnsi="Arial" w:cs="Arial"/>
                <w:color w:val="000000"/>
              </w:rPr>
            </w:pPr>
            <w:r w:rsidRPr="00721B07">
              <w:rPr>
                <w:rFonts w:ascii="Arial" w:hAnsi="Arial" w:cs="Arial"/>
                <w:color w:val="000000"/>
              </w:rPr>
              <w:t>0.573</w:t>
            </w:r>
          </w:p>
        </w:tc>
        <w:tc>
          <w:tcPr>
            <w:tcW w:w="1240" w:type="dxa"/>
            <w:tcBorders>
              <w:top w:val="nil"/>
              <w:left w:val="nil"/>
              <w:bottom w:val="single" w:sz="4" w:space="0" w:color="auto"/>
              <w:right w:val="single" w:sz="4" w:space="0" w:color="auto"/>
            </w:tcBorders>
            <w:shd w:val="clear" w:color="auto" w:fill="auto"/>
            <w:noWrap/>
            <w:vAlign w:val="bottom"/>
            <w:hideMark/>
          </w:tcPr>
          <w:p w14:paraId="7EA5F56E"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330C4C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4265F9D" w14:textId="77777777" w:rsidR="00E04ABD" w:rsidRPr="00721B07" w:rsidRDefault="00E04ABD" w:rsidP="00B0051B">
            <w:pPr>
              <w:rPr>
                <w:rFonts w:ascii="Arial" w:hAnsi="Arial" w:cs="Arial"/>
                <w:color w:val="000000"/>
              </w:rPr>
            </w:pPr>
            <w:r w:rsidRPr="00721B07">
              <w:rPr>
                <w:rFonts w:ascii="Arial" w:hAnsi="Arial" w:cs="Arial"/>
                <w:color w:val="000000"/>
              </w:rPr>
              <w:t>Older than 90</w:t>
            </w:r>
          </w:p>
        </w:tc>
        <w:tc>
          <w:tcPr>
            <w:tcW w:w="1457" w:type="dxa"/>
            <w:tcBorders>
              <w:top w:val="nil"/>
              <w:left w:val="nil"/>
              <w:bottom w:val="single" w:sz="4" w:space="0" w:color="auto"/>
              <w:right w:val="single" w:sz="4" w:space="0" w:color="auto"/>
            </w:tcBorders>
            <w:shd w:val="clear" w:color="auto" w:fill="auto"/>
            <w:noWrap/>
            <w:vAlign w:val="bottom"/>
            <w:hideMark/>
          </w:tcPr>
          <w:p w14:paraId="1F2ECE5F" w14:textId="77777777" w:rsidR="00E04ABD" w:rsidRPr="00721B07" w:rsidRDefault="00E04ABD" w:rsidP="00B0051B">
            <w:pPr>
              <w:jc w:val="right"/>
              <w:rPr>
                <w:rFonts w:ascii="Arial" w:hAnsi="Arial" w:cs="Arial"/>
                <w:color w:val="000000"/>
              </w:rPr>
            </w:pPr>
            <w:r w:rsidRPr="00721B07">
              <w:rPr>
                <w:rFonts w:ascii="Arial" w:hAnsi="Arial" w:cs="Arial"/>
                <w:color w:val="000000"/>
              </w:rPr>
              <w:t>-4.322</w:t>
            </w:r>
          </w:p>
        </w:tc>
        <w:tc>
          <w:tcPr>
            <w:tcW w:w="1240" w:type="dxa"/>
            <w:tcBorders>
              <w:top w:val="nil"/>
              <w:left w:val="nil"/>
              <w:bottom w:val="single" w:sz="4" w:space="0" w:color="auto"/>
              <w:right w:val="single" w:sz="4" w:space="0" w:color="auto"/>
            </w:tcBorders>
            <w:shd w:val="clear" w:color="auto" w:fill="auto"/>
            <w:noWrap/>
            <w:vAlign w:val="bottom"/>
            <w:hideMark/>
          </w:tcPr>
          <w:p w14:paraId="61AFDF29" w14:textId="77777777" w:rsidR="00E04ABD" w:rsidRPr="00721B07" w:rsidRDefault="00E04ABD" w:rsidP="00B0051B">
            <w:pPr>
              <w:jc w:val="right"/>
              <w:rPr>
                <w:rFonts w:ascii="Arial" w:hAnsi="Arial" w:cs="Arial"/>
                <w:color w:val="000000"/>
              </w:rPr>
            </w:pPr>
            <w:r w:rsidRPr="00721B07">
              <w:rPr>
                <w:rFonts w:ascii="Arial" w:hAnsi="Arial" w:cs="Arial"/>
                <w:color w:val="000000"/>
              </w:rPr>
              <w:t>0.652</w:t>
            </w:r>
          </w:p>
        </w:tc>
        <w:tc>
          <w:tcPr>
            <w:tcW w:w="1240" w:type="dxa"/>
            <w:tcBorders>
              <w:top w:val="nil"/>
              <w:left w:val="nil"/>
              <w:bottom w:val="single" w:sz="4" w:space="0" w:color="auto"/>
              <w:right w:val="single" w:sz="4" w:space="0" w:color="auto"/>
            </w:tcBorders>
            <w:shd w:val="clear" w:color="auto" w:fill="auto"/>
            <w:noWrap/>
            <w:vAlign w:val="bottom"/>
            <w:hideMark/>
          </w:tcPr>
          <w:p w14:paraId="33112121"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1CDDE3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0FA05AB" w14:textId="77777777" w:rsidR="00E04ABD" w:rsidRPr="00721B07" w:rsidRDefault="00E04ABD" w:rsidP="00B0051B">
            <w:pPr>
              <w:rPr>
                <w:rFonts w:ascii="Arial" w:hAnsi="Arial" w:cs="Arial"/>
                <w:color w:val="000000"/>
              </w:rPr>
            </w:pPr>
            <w:r w:rsidRPr="00721B07">
              <w:rPr>
                <w:rFonts w:ascii="Arial" w:hAnsi="Arial" w:cs="Arial"/>
                <w:color w:val="000000"/>
              </w:rPr>
              <w:t>Mobility score at admission - continuous form</w:t>
            </w:r>
          </w:p>
        </w:tc>
        <w:tc>
          <w:tcPr>
            <w:tcW w:w="1457" w:type="dxa"/>
            <w:tcBorders>
              <w:top w:val="nil"/>
              <w:left w:val="nil"/>
              <w:bottom w:val="single" w:sz="4" w:space="0" w:color="auto"/>
              <w:right w:val="single" w:sz="4" w:space="0" w:color="auto"/>
            </w:tcBorders>
            <w:shd w:val="clear" w:color="auto" w:fill="auto"/>
            <w:noWrap/>
            <w:vAlign w:val="bottom"/>
            <w:hideMark/>
          </w:tcPr>
          <w:p w14:paraId="42B8693B" w14:textId="77777777" w:rsidR="00E04ABD" w:rsidRPr="00721B07" w:rsidRDefault="00E04ABD" w:rsidP="00B0051B">
            <w:pPr>
              <w:jc w:val="right"/>
              <w:rPr>
                <w:rFonts w:ascii="Arial" w:hAnsi="Arial" w:cs="Arial"/>
                <w:color w:val="000000"/>
              </w:rPr>
            </w:pPr>
            <w:r w:rsidRPr="00721B07">
              <w:rPr>
                <w:rFonts w:ascii="Arial" w:hAnsi="Arial" w:cs="Arial"/>
                <w:color w:val="000000"/>
              </w:rPr>
              <w:t>0.429</w:t>
            </w:r>
          </w:p>
        </w:tc>
        <w:tc>
          <w:tcPr>
            <w:tcW w:w="1240" w:type="dxa"/>
            <w:tcBorders>
              <w:top w:val="nil"/>
              <w:left w:val="nil"/>
              <w:bottom w:val="single" w:sz="4" w:space="0" w:color="auto"/>
              <w:right w:val="single" w:sz="4" w:space="0" w:color="auto"/>
            </w:tcBorders>
            <w:shd w:val="clear" w:color="auto" w:fill="auto"/>
            <w:noWrap/>
            <w:vAlign w:val="bottom"/>
            <w:hideMark/>
          </w:tcPr>
          <w:p w14:paraId="37A9DCDE" w14:textId="77777777" w:rsidR="00E04ABD" w:rsidRPr="00721B07" w:rsidRDefault="00E04ABD" w:rsidP="00B0051B">
            <w:pPr>
              <w:jc w:val="right"/>
              <w:rPr>
                <w:rFonts w:ascii="Arial" w:hAnsi="Arial" w:cs="Arial"/>
                <w:color w:val="000000"/>
              </w:rPr>
            </w:pPr>
            <w:r w:rsidRPr="00721B07">
              <w:rPr>
                <w:rFonts w:ascii="Arial" w:hAnsi="Arial" w:cs="Arial"/>
                <w:color w:val="000000"/>
              </w:rPr>
              <w:t>0.082</w:t>
            </w:r>
          </w:p>
        </w:tc>
        <w:tc>
          <w:tcPr>
            <w:tcW w:w="1240" w:type="dxa"/>
            <w:tcBorders>
              <w:top w:val="nil"/>
              <w:left w:val="nil"/>
              <w:bottom w:val="single" w:sz="4" w:space="0" w:color="auto"/>
              <w:right w:val="single" w:sz="4" w:space="0" w:color="auto"/>
            </w:tcBorders>
            <w:shd w:val="clear" w:color="auto" w:fill="auto"/>
            <w:noWrap/>
            <w:vAlign w:val="bottom"/>
            <w:hideMark/>
          </w:tcPr>
          <w:p w14:paraId="0A8B01B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A61CC7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1D2ACD0" w14:textId="77777777" w:rsidR="00E04ABD" w:rsidRPr="00721B07" w:rsidRDefault="00E04ABD" w:rsidP="00B0051B">
            <w:pPr>
              <w:rPr>
                <w:rFonts w:ascii="Arial" w:hAnsi="Arial" w:cs="Arial"/>
                <w:color w:val="000000"/>
              </w:rPr>
            </w:pPr>
            <w:r w:rsidRPr="00721B07">
              <w:rPr>
                <w:rFonts w:ascii="Arial" w:hAnsi="Arial" w:cs="Arial"/>
                <w:color w:val="000000"/>
              </w:rPr>
              <w:t>Mobility score at admission - squared form</w:t>
            </w:r>
          </w:p>
        </w:tc>
        <w:tc>
          <w:tcPr>
            <w:tcW w:w="1457" w:type="dxa"/>
            <w:tcBorders>
              <w:top w:val="nil"/>
              <w:left w:val="nil"/>
              <w:bottom w:val="single" w:sz="4" w:space="0" w:color="auto"/>
              <w:right w:val="single" w:sz="4" w:space="0" w:color="auto"/>
            </w:tcBorders>
            <w:shd w:val="clear" w:color="auto" w:fill="auto"/>
            <w:noWrap/>
            <w:vAlign w:val="bottom"/>
            <w:hideMark/>
          </w:tcPr>
          <w:p w14:paraId="2A3C7052" w14:textId="77777777" w:rsidR="00E04ABD" w:rsidRPr="00721B07" w:rsidRDefault="00E04ABD" w:rsidP="00B0051B">
            <w:pPr>
              <w:jc w:val="right"/>
              <w:rPr>
                <w:rFonts w:ascii="Arial" w:hAnsi="Arial" w:cs="Arial"/>
                <w:color w:val="000000"/>
              </w:rPr>
            </w:pPr>
            <w:r w:rsidRPr="00721B07">
              <w:rPr>
                <w:rFonts w:ascii="Arial" w:hAnsi="Arial" w:cs="Arial"/>
                <w:color w:val="000000"/>
              </w:rPr>
              <w:t>-0.009</w:t>
            </w:r>
          </w:p>
        </w:tc>
        <w:tc>
          <w:tcPr>
            <w:tcW w:w="1240" w:type="dxa"/>
            <w:tcBorders>
              <w:top w:val="nil"/>
              <w:left w:val="nil"/>
              <w:bottom w:val="single" w:sz="4" w:space="0" w:color="auto"/>
              <w:right w:val="single" w:sz="4" w:space="0" w:color="auto"/>
            </w:tcBorders>
            <w:shd w:val="clear" w:color="auto" w:fill="auto"/>
            <w:noWrap/>
            <w:vAlign w:val="bottom"/>
            <w:hideMark/>
          </w:tcPr>
          <w:p w14:paraId="6BADBB93"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c>
          <w:tcPr>
            <w:tcW w:w="1240" w:type="dxa"/>
            <w:tcBorders>
              <w:top w:val="nil"/>
              <w:left w:val="nil"/>
              <w:bottom w:val="single" w:sz="4" w:space="0" w:color="auto"/>
              <w:right w:val="single" w:sz="4" w:space="0" w:color="auto"/>
            </w:tcBorders>
            <w:shd w:val="clear" w:color="auto" w:fill="auto"/>
            <w:noWrap/>
            <w:vAlign w:val="bottom"/>
            <w:hideMark/>
          </w:tcPr>
          <w:p w14:paraId="0301E2AE"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E95E566"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4ED7488" w14:textId="77777777" w:rsidR="00E04ABD" w:rsidRPr="00721B07" w:rsidRDefault="00E04ABD" w:rsidP="00B0051B">
            <w:pPr>
              <w:rPr>
                <w:rFonts w:ascii="Arial" w:hAnsi="Arial" w:cs="Arial"/>
                <w:color w:val="000000"/>
              </w:rPr>
            </w:pPr>
            <w:r w:rsidRPr="00721B07">
              <w:rPr>
                <w:rFonts w:ascii="Arial" w:hAnsi="Arial" w:cs="Arial"/>
                <w:color w:val="000000"/>
              </w:rPr>
              <w:t>Primary diagnosis: Stroke</w:t>
            </w:r>
          </w:p>
        </w:tc>
        <w:tc>
          <w:tcPr>
            <w:tcW w:w="1457" w:type="dxa"/>
            <w:tcBorders>
              <w:top w:val="nil"/>
              <w:left w:val="nil"/>
              <w:bottom w:val="single" w:sz="4" w:space="0" w:color="auto"/>
              <w:right w:val="single" w:sz="4" w:space="0" w:color="auto"/>
            </w:tcBorders>
            <w:shd w:val="clear" w:color="auto" w:fill="auto"/>
            <w:noWrap/>
            <w:vAlign w:val="bottom"/>
            <w:hideMark/>
          </w:tcPr>
          <w:p w14:paraId="749C4FA8" w14:textId="77777777" w:rsidR="00E04ABD" w:rsidRPr="00721B07" w:rsidRDefault="00E04ABD" w:rsidP="00B0051B">
            <w:pPr>
              <w:jc w:val="right"/>
              <w:rPr>
                <w:rFonts w:ascii="Arial" w:hAnsi="Arial" w:cs="Arial"/>
                <w:color w:val="000000"/>
              </w:rPr>
            </w:pPr>
            <w:r w:rsidRPr="00721B07">
              <w:rPr>
                <w:rFonts w:ascii="Arial" w:hAnsi="Arial" w:cs="Arial"/>
                <w:color w:val="000000"/>
              </w:rPr>
              <w:t>-9.824</w:t>
            </w:r>
          </w:p>
        </w:tc>
        <w:tc>
          <w:tcPr>
            <w:tcW w:w="1240" w:type="dxa"/>
            <w:tcBorders>
              <w:top w:val="nil"/>
              <w:left w:val="nil"/>
              <w:bottom w:val="single" w:sz="4" w:space="0" w:color="auto"/>
              <w:right w:val="single" w:sz="4" w:space="0" w:color="auto"/>
            </w:tcBorders>
            <w:shd w:val="clear" w:color="auto" w:fill="auto"/>
            <w:noWrap/>
            <w:vAlign w:val="bottom"/>
            <w:hideMark/>
          </w:tcPr>
          <w:p w14:paraId="2BA8E076" w14:textId="77777777" w:rsidR="00E04ABD" w:rsidRPr="00721B07" w:rsidRDefault="00E04ABD" w:rsidP="00B0051B">
            <w:pPr>
              <w:jc w:val="right"/>
              <w:rPr>
                <w:rFonts w:ascii="Arial" w:hAnsi="Arial" w:cs="Arial"/>
                <w:color w:val="000000"/>
              </w:rPr>
            </w:pPr>
            <w:r w:rsidRPr="00721B07">
              <w:rPr>
                <w:rFonts w:ascii="Arial" w:hAnsi="Arial" w:cs="Arial"/>
                <w:color w:val="000000"/>
              </w:rPr>
              <w:t>2.563</w:t>
            </w:r>
          </w:p>
        </w:tc>
        <w:tc>
          <w:tcPr>
            <w:tcW w:w="1240" w:type="dxa"/>
            <w:tcBorders>
              <w:top w:val="nil"/>
              <w:left w:val="nil"/>
              <w:bottom w:val="single" w:sz="4" w:space="0" w:color="auto"/>
              <w:right w:val="single" w:sz="4" w:space="0" w:color="auto"/>
            </w:tcBorders>
            <w:shd w:val="clear" w:color="auto" w:fill="auto"/>
            <w:noWrap/>
            <w:vAlign w:val="bottom"/>
            <w:hideMark/>
          </w:tcPr>
          <w:p w14:paraId="08B7CF3C"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D559D6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78E412A"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766AA33" w14:textId="77777777" w:rsidR="00E04ABD" w:rsidRPr="00721B07" w:rsidRDefault="00E04ABD" w:rsidP="00B0051B">
            <w:pPr>
              <w:jc w:val="right"/>
              <w:rPr>
                <w:rFonts w:ascii="Arial" w:hAnsi="Arial" w:cs="Arial"/>
                <w:color w:val="000000"/>
              </w:rPr>
            </w:pPr>
            <w:r w:rsidRPr="00721B07">
              <w:rPr>
                <w:rFonts w:ascii="Arial" w:hAnsi="Arial" w:cs="Arial"/>
                <w:color w:val="000000"/>
              </w:rPr>
              <w:t>-6.246</w:t>
            </w:r>
          </w:p>
        </w:tc>
        <w:tc>
          <w:tcPr>
            <w:tcW w:w="1240" w:type="dxa"/>
            <w:tcBorders>
              <w:top w:val="nil"/>
              <w:left w:val="nil"/>
              <w:bottom w:val="single" w:sz="4" w:space="0" w:color="auto"/>
              <w:right w:val="single" w:sz="4" w:space="0" w:color="auto"/>
            </w:tcBorders>
            <w:shd w:val="clear" w:color="auto" w:fill="auto"/>
            <w:noWrap/>
            <w:vAlign w:val="bottom"/>
            <w:hideMark/>
          </w:tcPr>
          <w:p w14:paraId="589C1402" w14:textId="77777777" w:rsidR="00E04ABD" w:rsidRPr="00721B07" w:rsidRDefault="00E04ABD" w:rsidP="00B0051B">
            <w:pPr>
              <w:jc w:val="right"/>
              <w:rPr>
                <w:rFonts w:ascii="Arial" w:hAnsi="Arial" w:cs="Arial"/>
                <w:color w:val="000000"/>
              </w:rPr>
            </w:pPr>
            <w:r w:rsidRPr="00721B07">
              <w:rPr>
                <w:rFonts w:ascii="Arial" w:hAnsi="Arial" w:cs="Arial"/>
                <w:color w:val="000000"/>
              </w:rPr>
              <w:t>16.637</w:t>
            </w:r>
          </w:p>
        </w:tc>
        <w:tc>
          <w:tcPr>
            <w:tcW w:w="1240" w:type="dxa"/>
            <w:tcBorders>
              <w:top w:val="nil"/>
              <w:left w:val="nil"/>
              <w:bottom w:val="single" w:sz="4" w:space="0" w:color="auto"/>
              <w:right w:val="single" w:sz="4" w:space="0" w:color="auto"/>
            </w:tcBorders>
            <w:shd w:val="clear" w:color="auto" w:fill="auto"/>
            <w:noWrap/>
            <w:vAlign w:val="bottom"/>
            <w:hideMark/>
          </w:tcPr>
          <w:p w14:paraId="76B87461" w14:textId="77777777" w:rsidR="00E04ABD" w:rsidRPr="00721B07" w:rsidRDefault="00E04ABD" w:rsidP="00B0051B">
            <w:pPr>
              <w:jc w:val="right"/>
              <w:rPr>
                <w:rFonts w:ascii="Arial" w:hAnsi="Arial" w:cs="Arial"/>
                <w:color w:val="000000"/>
              </w:rPr>
            </w:pPr>
            <w:r w:rsidRPr="00721B07">
              <w:rPr>
                <w:rFonts w:ascii="Arial" w:hAnsi="Arial" w:cs="Arial"/>
                <w:color w:val="000000"/>
              </w:rPr>
              <w:t>0.707</w:t>
            </w:r>
          </w:p>
        </w:tc>
      </w:tr>
      <w:tr w:rsidR="00E04ABD" w:rsidRPr="00721B07" w14:paraId="05FF6C0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8847578"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0C9B82DE" w14:textId="77777777" w:rsidR="00E04ABD" w:rsidRPr="00721B07" w:rsidRDefault="00E04ABD" w:rsidP="00B0051B">
            <w:pPr>
              <w:jc w:val="right"/>
              <w:rPr>
                <w:rFonts w:ascii="Arial" w:hAnsi="Arial" w:cs="Arial"/>
                <w:color w:val="000000"/>
              </w:rPr>
            </w:pPr>
            <w:r w:rsidRPr="00721B07">
              <w:rPr>
                <w:rFonts w:ascii="Arial" w:hAnsi="Arial" w:cs="Arial"/>
                <w:color w:val="000000"/>
              </w:rPr>
              <w:t>-28.950</w:t>
            </w:r>
          </w:p>
        </w:tc>
        <w:tc>
          <w:tcPr>
            <w:tcW w:w="1240" w:type="dxa"/>
            <w:tcBorders>
              <w:top w:val="nil"/>
              <w:left w:val="nil"/>
              <w:bottom w:val="single" w:sz="4" w:space="0" w:color="auto"/>
              <w:right w:val="single" w:sz="4" w:space="0" w:color="auto"/>
            </w:tcBorders>
            <w:shd w:val="clear" w:color="auto" w:fill="auto"/>
            <w:noWrap/>
            <w:vAlign w:val="bottom"/>
            <w:hideMark/>
          </w:tcPr>
          <w:p w14:paraId="44F8454E" w14:textId="77777777" w:rsidR="00E04ABD" w:rsidRPr="00721B07" w:rsidRDefault="00E04ABD" w:rsidP="00B0051B">
            <w:pPr>
              <w:jc w:val="right"/>
              <w:rPr>
                <w:rFonts w:ascii="Arial" w:hAnsi="Arial" w:cs="Arial"/>
                <w:color w:val="000000"/>
              </w:rPr>
            </w:pPr>
            <w:r w:rsidRPr="00721B07">
              <w:rPr>
                <w:rFonts w:ascii="Arial" w:hAnsi="Arial" w:cs="Arial"/>
                <w:color w:val="000000"/>
              </w:rPr>
              <w:t>6.402</w:t>
            </w:r>
          </w:p>
        </w:tc>
        <w:tc>
          <w:tcPr>
            <w:tcW w:w="1240" w:type="dxa"/>
            <w:tcBorders>
              <w:top w:val="nil"/>
              <w:left w:val="nil"/>
              <w:bottom w:val="single" w:sz="4" w:space="0" w:color="auto"/>
              <w:right w:val="single" w:sz="4" w:space="0" w:color="auto"/>
            </w:tcBorders>
            <w:shd w:val="clear" w:color="auto" w:fill="auto"/>
            <w:noWrap/>
            <w:vAlign w:val="bottom"/>
            <w:hideMark/>
          </w:tcPr>
          <w:p w14:paraId="0387A632"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5971165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2DF6A22" w14:textId="77777777" w:rsidR="00E04ABD" w:rsidRPr="00721B07" w:rsidRDefault="00E04ABD" w:rsidP="00B0051B">
            <w:pPr>
              <w:rPr>
                <w:rFonts w:ascii="Arial" w:hAnsi="Arial" w:cs="Arial"/>
                <w:color w:val="000000"/>
              </w:rPr>
            </w:pPr>
            <w:r w:rsidRPr="00721B07">
              <w:rPr>
                <w:rFonts w:ascii="Arial" w:hAnsi="Arial" w:cs="Arial"/>
                <w:color w:val="000000"/>
              </w:rPr>
              <w:t>Primary diagnosis: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3FF77949" w14:textId="77777777" w:rsidR="00E04ABD" w:rsidRPr="00721B07" w:rsidRDefault="00E04ABD" w:rsidP="00B0051B">
            <w:pPr>
              <w:jc w:val="right"/>
              <w:rPr>
                <w:rFonts w:ascii="Arial" w:hAnsi="Arial" w:cs="Arial"/>
                <w:color w:val="000000"/>
              </w:rPr>
            </w:pPr>
            <w:r w:rsidRPr="00721B07">
              <w:rPr>
                <w:rFonts w:ascii="Arial" w:hAnsi="Arial" w:cs="Arial"/>
                <w:color w:val="000000"/>
              </w:rPr>
              <w:t>-5.333</w:t>
            </w:r>
          </w:p>
        </w:tc>
        <w:tc>
          <w:tcPr>
            <w:tcW w:w="1240" w:type="dxa"/>
            <w:tcBorders>
              <w:top w:val="nil"/>
              <w:left w:val="nil"/>
              <w:bottom w:val="single" w:sz="4" w:space="0" w:color="auto"/>
              <w:right w:val="single" w:sz="4" w:space="0" w:color="auto"/>
            </w:tcBorders>
            <w:shd w:val="clear" w:color="auto" w:fill="auto"/>
            <w:noWrap/>
            <w:vAlign w:val="bottom"/>
            <w:hideMark/>
          </w:tcPr>
          <w:p w14:paraId="13F4C4AE" w14:textId="77777777" w:rsidR="00E04ABD" w:rsidRPr="00721B07" w:rsidRDefault="00E04ABD" w:rsidP="00B0051B">
            <w:pPr>
              <w:jc w:val="right"/>
              <w:rPr>
                <w:rFonts w:ascii="Arial" w:hAnsi="Arial" w:cs="Arial"/>
                <w:color w:val="000000"/>
              </w:rPr>
            </w:pPr>
            <w:r w:rsidRPr="00721B07">
              <w:rPr>
                <w:rFonts w:ascii="Arial" w:hAnsi="Arial" w:cs="Arial"/>
                <w:color w:val="000000"/>
              </w:rPr>
              <w:t>9.229</w:t>
            </w:r>
          </w:p>
        </w:tc>
        <w:tc>
          <w:tcPr>
            <w:tcW w:w="1240" w:type="dxa"/>
            <w:tcBorders>
              <w:top w:val="nil"/>
              <w:left w:val="nil"/>
              <w:bottom w:val="single" w:sz="4" w:space="0" w:color="auto"/>
              <w:right w:val="single" w:sz="4" w:space="0" w:color="auto"/>
            </w:tcBorders>
            <w:shd w:val="clear" w:color="auto" w:fill="auto"/>
            <w:noWrap/>
            <w:vAlign w:val="bottom"/>
            <w:hideMark/>
          </w:tcPr>
          <w:p w14:paraId="302A14EA" w14:textId="77777777" w:rsidR="00E04ABD" w:rsidRPr="00721B07" w:rsidRDefault="00E04ABD" w:rsidP="00B0051B">
            <w:pPr>
              <w:jc w:val="right"/>
              <w:rPr>
                <w:rFonts w:ascii="Arial" w:hAnsi="Arial" w:cs="Arial"/>
                <w:color w:val="000000"/>
              </w:rPr>
            </w:pPr>
            <w:r w:rsidRPr="00721B07">
              <w:rPr>
                <w:rFonts w:ascii="Arial" w:hAnsi="Arial" w:cs="Arial"/>
                <w:color w:val="000000"/>
              </w:rPr>
              <w:t>0.563</w:t>
            </w:r>
          </w:p>
        </w:tc>
      </w:tr>
      <w:tr w:rsidR="00E04ABD" w:rsidRPr="00721B07" w14:paraId="3F6D195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27316CB" w14:textId="77777777" w:rsidR="00E04ABD" w:rsidRPr="00721B07" w:rsidRDefault="00E04ABD" w:rsidP="00B0051B">
            <w:pPr>
              <w:rPr>
                <w:rFonts w:ascii="Arial" w:hAnsi="Arial" w:cs="Arial"/>
                <w:color w:val="000000"/>
              </w:rPr>
            </w:pPr>
            <w:r w:rsidRPr="00721B07">
              <w:rPr>
                <w:rFonts w:ascii="Arial" w:hAnsi="Arial" w:cs="Arial"/>
                <w:color w:val="000000"/>
              </w:rPr>
              <w:t>Primary diagnosis: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743E4801" w14:textId="77777777" w:rsidR="00E04ABD" w:rsidRPr="00721B07" w:rsidRDefault="00E04ABD" w:rsidP="00B0051B">
            <w:pPr>
              <w:jc w:val="right"/>
              <w:rPr>
                <w:rFonts w:ascii="Arial" w:hAnsi="Arial" w:cs="Arial"/>
                <w:color w:val="000000"/>
              </w:rPr>
            </w:pPr>
            <w:r w:rsidRPr="00721B07">
              <w:rPr>
                <w:rFonts w:ascii="Arial" w:hAnsi="Arial" w:cs="Arial"/>
                <w:color w:val="000000"/>
              </w:rPr>
              <w:t>19.225</w:t>
            </w:r>
          </w:p>
        </w:tc>
        <w:tc>
          <w:tcPr>
            <w:tcW w:w="1240" w:type="dxa"/>
            <w:tcBorders>
              <w:top w:val="nil"/>
              <w:left w:val="nil"/>
              <w:bottom w:val="single" w:sz="4" w:space="0" w:color="auto"/>
              <w:right w:val="single" w:sz="4" w:space="0" w:color="auto"/>
            </w:tcBorders>
            <w:shd w:val="clear" w:color="auto" w:fill="auto"/>
            <w:noWrap/>
            <w:vAlign w:val="bottom"/>
            <w:hideMark/>
          </w:tcPr>
          <w:p w14:paraId="145D3B89" w14:textId="77777777" w:rsidR="00E04ABD" w:rsidRPr="00721B07" w:rsidRDefault="00E04ABD" w:rsidP="00B0051B">
            <w:pPr>
              <w:jc w:val="right"/>
              <w:rPr>
                <w:rFonts w:ascii="Arial" w:hAnsi="Arial" w:cs="Arial"/>
                <w:color w:val="000000"/>
              </w:rPr>
            </w:pPr>
            <w:r w:rsidRPr="00721B07">
              <w:rPr>
                <w:rFonts w:ascii="Arial" w:hAnsi="Arial" w:cs="Arial"/>
                <w:color w:val="000000"/>
              </w:rPr>
              <w:t>9.176</w:t>
            </w:r>
          </w:p>
        </w:tc>
        <w:tc>
          <w:tcPr>
            <w:tcW w:w="1240" w:type="dxa"/>
            <w:tcBorders>
              <w:top w:val="nil"/>
              <w:left w:val="nil"/>
              <w:bottom w:val="single" w:sz="4" w:space="0" w:color="auto"/>
              <w:right w:val="single" w:sz="4" w:space="0" w:color="auto"/>
            </w:tcBorders>
            <w:shd w:val="clear" w:color="auto" w:fill="auto"/>
            <w:noWrap/>
            <w:vAlign w:val="bottom"/>
            <w:hideMark/>
          </w:tcPr>
          <w:p w14:paraId="57C1C345" w14:textId="77777777" w:rsidR="00E04ABD" w:rsidRPr="00721B07" w:rsidRDefault="00E04ABD" w:rsidP="00B0051B">
            <w:pPr>
              <w:jc w:val="right"/>
              <w:rPr>
                <w:rFonts w:ascii="Arial" w:hAnsi="Arial" w:cs="Arial"/>
                <w:color w:val="000000"/>
              </w:rPr>
            </w:pPr>
            <w:r w:rsidRPr="00721B07">
              <w:rPr>
                <w:rFonts w:ascii="Arial" w:hAnsi="Arial" w:cs="Arial"/>
                <w:color w:val="000000"/>
              </w:rPr>
              <w:t>0.036</w:t>
            </w:r>
          </w:p>
        </w:tc>
      </w:tr>
      <w:tr w:rsidR="00E04ABD" w:rsidRPr="00721B07" w14:paraId="53E06BD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772E2D2" w14:textId="77777777" w:rsidR="00E04ABD" w:rsidRPr="00721B07" w:rsidRDefault="00E04ABD" w:rsidP="00B0051B">
            <w:pPr>
              <w:rPr>
                <w:rFonts w:ascii="Arial" w:hAnsi="Arial" w:cs="Arial"/>
                <w:color w:val="000000"/>
              </w:rPr>
            </w:pPr>
            <w:r w:rsidRPr="00721B07">
              <w:rPr>
                <w:rFonts w:ascii="Arial" w:hAnsi="Arial" w:cs="Arial"/>
                <w:color w:val="000000"/>
              </w:rPr>
              <w:t>Primary diagnosis: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D746A8D" w14:textId="77777777" w:rsidR="00E04ABD" w:rsidRPr="00721B07" w:rsidRDefault="00E04ABD" w:rsidP="00B0051B">
            <w:pPr>
              <w:jc w:val="right"/>
              <w:rPr>
                <w:rFonts w:ascii="Arial" w:hAnsi="Arial" w:cs="Arial"/>
                <w:color w:val="000000"/>
              </w:rPr>
            </w:pPr>
            <w:r w:rsidRPr="00721B07">
              <w:rPr>
                <w:rFonts w:ascii="Arial" w:hAnsi="Arial" w:cs="Arial"/>
                <w:color w:val="000000"/>
              </w:rPr>
              <w:t>0.224</w:t>
            </w:r>
          </w:p>
        </w:tc>
        <w:tc>
          <w:tcPr>
            <w:tcW w:w="1240" w:type="dxa"/>
            <w:tcBorders>
              <w:top w:val="nil"/>
              <w:left w:val="nil"/>
              <w:bottom w:val="single" w:sz="4" w:space="0" w:color="auto"/>
              <w:right w:val="single" w:sz="4" w:space="0" w:color="auto"/>
            </w:tcBorders>
            <w:shd w:val="clear" w:color="auto" w:fill="auto"/>
            <w:noWrap/>
            <w:vAlign w:val="bottom"/>
            <w:hideMark/>
          </w:tcPr>
          <w:p w14:paraId="2628A261" w14:textId="77777777" w:rsidR="00E04ABD" w:rsidRPr="00721B07" w:rsidRDefault="00E04ABD" w:rsidP="00B0051B">
            <w:pPr>
              <w:jc w:val="right"/>
              <w:rPr>
                <w:rFonts w:ascii="Arial" w:hAnsi="Arial" w:cs="Arial"/>
                <w:color w:val="000000"/>
              </w:rPr>
            </w:pPr>
            <w:r w:rsidRPr="00721B07">
              <w:rPr>
                <w:rFonts w:ascii="Arial" w:hAnsi="Arial" w:cs="Arial"/>
                <w:color w:val="000000"/>
              </w:rPr>
              <w:t>5.696</w:t>
            </w:r>
          </w:p>
        </w:tc>
        <w:tc>
          <w:tcPr>
            <w:tcW w:w="1240" w:type="dxa"/>
            <w:tcBorders>
              <w:top w:val="nil"/>
              <w:left w:val="nil"/>
              <w:bottom w:val="single" w:sz="4" w:space="0" w:color="auto"/>
              <w:right w:val="single" w:sz="4" w:space="0" w:color="auto"/>
            </w:tcBorders>
            <w:shd w:val="clear" w:color="auto" w:fill="auto"/>
            <w:noWrap/>
            <w:vAlign w:val="bottom"/>
            <w:hideMark/>
          </w:tcPr>
          <w:p w14:paraId="7FEA2027" w14:textId="77777777" w:rsidR="00E04ABD" w:rsidRPr="00721B07" w:rsidRDefault="00E04ABD" w:rsidP="00B0051B">
            <w:pPr>
              <w:jc w:val="right"/>
              <w:rPr>
                <w:rFonts w:ascii="Arial" w:hAnsi="Arial" w:cs="Arial"/>
                <w:color w:val="000000"/>
              </w:rPr>
            </w:pPr>
            <w:r w:rsidRPr="00721B07">
              <w:rPr>
                <w:rFonts w:ascii="Arial" w:hAnsi="Arial" w:cs="Arial"/>
                <w:color w:val="000000"/>
              </w:rPr>
              <w:t>0.969</w:t>
            </w:r>
          </w:p>
        </w:tc>
      </w:tr>
      <w:tr w:rsidR="00E04ABD" w:rsidRPr="00721B07" w14:paraId="116D839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3969BC7"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23E31EBA" w14:textId="77777777" w:rsidR="00E04ABD" w:rsidRPr="00721B07" w:rsidRDefault="00E04ABD" w:rsidP="00B0051B">
            <w:pPr>
              <w:jc w:val="right"/>
              <w:rPr>
                <w:rFonts w:ascii="Arial" w:hAnsi="Arial" w:cs="Arial"/>
                <w:color w:val="000000"/>
              </w:rPr>
            </w:pPr>
            <w:r w:rsidRPr="00721B07">
              <w:rPr>
                <w:rFonts w:ascii="Arial" w:hAnsi="Arial" w:cs="Arial"/>
                <w:color w:val="000000"/>
              </w:rPr>
              <w:t>-8.345</w:t>
            </w:r>
          </w:p>
        </w:tc>
        <w:tc>
          <w:tcPr>
            <w:tcW w:w="1240" w:type="dxa"/>
            <w:tcBorders>
              <w:top w:val="nil"/>
              <w:left w:val="nil"/>
              <w:bottom w:val="single" w:sz="4" w:space="0" w:color="auto"/>
              <w:right w:val="single" w:sz="4" w:space="0" w:color="auto"/>
            </w:tcBorders>
            <w:shd w:val="clear" w:color="auto" w:fill="auto"/>
            <w:noWrap/>
            <w:vAlign w:val="bottom"/>
            <w:hideMark/>
          </w:tcPr>
          <w:p w14:paraId="5B1E7B98" w14:textId="77777777" w:rsidR="00E04ABD" w:rsidRPr="00721B07" w:rsidRDefault="00E04ABD" w:rsidP="00B0051B">
            <w:pPr>
              <w:jc w:val="right"/>
              <w:rPr>
                <w:rFonts w:ascii="Arial" w:hAnsi="Arial" w:cs="Arial"/>
                <w:color w:val="000000"/>
              </w:rPr>
            </w:pPr>
            <w:r w:rsidRPr="00721B07">
              <w:rPr>
                <w:rFonts w:ascii="Arial" w:hAnsi="Arial" w:cs="Arial"/>
                <w:color w:val="000000"/>
              </w:rPr>
              <w:t>5.325</w:t>
            </w:r>
          </w:p>
        </w:tc>
        <w:tc>
          <w:tcPr>
            <w:tcW w:w="1240" w:type="dxa"/>
            <w:tcBorders>
              <w:top w:val="nil"/>
              <w:left w:val="nil"/>
              <w:bottom w:val="single" w:sz="4" w:space="0" w:color="auto"/>
              <w:right w:val="single" w:sz="4" w:space="0" w:color="auto"/>
            </w:tcBorders>
            <w:shd w:val="clear" w:color="auto" w:fill="auto"/>
            <w:noWrap/>
            <w:vAlign w:val="bottom"/>
            <w:hideMark/>
          </w:tcPr>
          <w:p w14:paraId="3B784EA2" w14:textId="77777777" w:rsidR="00E04ABD" w:rsidRPr="00721B07" w:rsidRDefault="00E04ABD" w:rsidP="00B0051B">
            <w:pPr>
              <w:jc w:val="right"/>
              <w:rPr>
                <w:rFonts w:ascii="Arial" w:hAnsi="Arial" w:cs="Arial"/>
                <w:color w:val="000000"/>
              </w:rPr>
            </w:pPr>
            <w:r w:rsidRPr="00721B07">
              <w:rPr>
                <w:rFonts w:ascii="Arial" w:hAnsi="Arial" w:cs="Arial"/>
                <w:color w:val="000000"/>
              </w:rPr>
              <w:t>0.117</w:t>
            </w:r>
          </w:p>
        </w:tc>
      </w:tr>
      <w:tr w:rsidR="00E04ABD" w:rsidRPr="00721B07" w14:paraId="24DFC6C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15D9FBB" w14:textId="77777777" w:rsidR="00E04ABD" w:rsidRPr="00721B07" w:rsidRDefault="00E04ABD" w:rsidP="00B0051B">
            <w:pPr>
              <w:rPr>
                <w:rFonts w:ascii="Arial" w:hAnsi="Arial" w:cs="Arial"/>
                <w:color w:val="000000"/>
              </w:rPr>
            </w:pPr>
            <w:r w:rsidRPr="00721B07">
              <w:rPr>
                <w:rFonts w:ascii="Arial" w:hAnsi="Arial" w:cs="Arial"/>
                <w:color w:val="000000"/>
              </w:rPr>
              <w:t>Primary diagnosis: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6FC5900A" w14:textId="77777777" w:rsidR="00E04ABD" w:rsidRPr="00721B07" w:rsidRDefault="00E04ABD" w:rsidP="00B0051B">
            <w:pPr>
              <w:jc w:val="right"/>
              <w:rPr>
                <w:rFonts w:ascii="Arial" w:hAnsi="Arial" w:cs="Arial"/>
                <w:color w:val="000000"/>
              </w:rPr>
            </w:pPr>
            <w:r w:rsidRPr="00721B07">
              <w:rPr>
                <w:rFonts w:ascii="Arial" w:hAnsi="Arial" w:cs="Arial"/>
                <w:color w:val="000000"/>
              </w:rPr>
              <w:t>-7.064</w:t>
            </w:r>
          </w:p>
        </w:tc>
        <w:tc>
          <w:tcPr>
            <w:tcW w:w="1240" w:type="dxa"/>
            <w:tcBorders>
              <w:top w:val="nil"/>
              <w:left w:val="nil"/>
              <w:bottom w:val="single" w:sz="4" w:space="0" w:color="auto"/>
              <w:right w:val="single" w:sz="4" w:space="0" w:color="auto"/>
            </w:tcBorders>
            <w:shd w:val="clear" w:color="auto" w:fill="auto"/>
            <w:noWrap/>
            <w:vAlign w:val="bottom"/>
            <w:hideMark/>
          </w:tcPr>
          <w:p w14:paraId="0933B7F0" w14:textId="77777777" w:rsidR="00E04ABD" w:rsidRPr="00721B07" w:rsidRDefault="00E04ABD" w:rsidP="00B0051B">
            <w:pPr>
              <w:jc w:val="right"/>
              <w:rPr>
                <w:rFonts w:ascii="Arial" w:hAnsi="Arial" w:cs="Arial"/>
                <w:color w:val="000000"/>
              </w:rPr>
            </w:pPr>
            <w:r w:rsidRPr="00721B07">
              <w:rPr>
                <w:rFonts w:ascii="Arial" w:hAnsi="Arial" w:cs="Arial"/>
                <w:color w:val="000000"/>
              </w:rPr>
              <w:t>2.285</w:t>
            </w:r>
          </w:p>
        </w:tc>
        <w:tc>
          <w:tcPr>
            <w:tcW w:w="1240" w:type="dxa"/>
            <w:tcBorders>
              <w:top w:val="nil"/>
              <w:left w:val="nil"/>
              <w:bottom w:val="single" w:sz="4" w:space="0" w:color="auto"/>
              <w:right w:val="single" w:sz="4" w:space="0" w:color="auto"/>
            </w:tcBorders>
            <w:shd w:val="clear" w:color="auto" w:fill="auto"/>
            <w:noWrap/>
            <w:vAlign w:val="bottom"/>
            <w:hideMark/>
          </w:tcPr>
          <w:p w14:paraId="20241FAC"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r>
      <w:tr w:rsidR="00E04ABD" w:rsidRPr="00721B07" w14:paraId="40CAC97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7D98A19" w14:textId="77777777" w:rsidR="00E04ABD" w:rsidRPr="00721B07" w:rsidRDefault="00E04ABD" w:rsidP="00B0051B">
            <w:pPr>
              <w:rPr>
                <w:rFonts w:ascii="Arial" w:hAnsi="Arial" w:cs="Arial"/>
                <w:color w:val="000000"/>
              </w:rPr>
            </w:pPr>
            <w:r w:rsidRPr="00721B07">
              <w:rPr>
                <w:rFonts w:ascii="Arial" w:hAnsi="Arial" w:cs="Arial"/>
                <w:color w:val="000000"/>
              </w:rPr>
              <w:t>Primary diagnosis: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2F93B7B3" w14:textId="77777777" w:rsidR="00E04ABD" w:rsidRPr="00721B07" w:rsidRDefault="00E04ABD" w:rsidP="00B0051B">
            <w:pPr>
              <w:jc w:val="right"/>
              <w:rPr>
                <w:rFonts w:ascii="Arial" w:hAnsi="Arial" w:cs="Arial"/>
                <w:color w:val="000000"/>
              </w:rPr>
            </w:pPr>
            <w:r w:rsidRPr="00721B07">
              <w:rPr>
                <w:rFonts w:ascii="Arial" w:hAnsi="Arial" w:cs="Arial"/>
                <w:color w:val="000000"/>
              </w:rPr>
              <w:t>-0.549</w:t>
            </w:r>
          </w:p>
        </w:tc>
        <w:tc>
          <w:tcPr>
            <w:tcW w:w="1240" w:type="dxa"/>
            <w:tcBorders>
              <w:top w:val="nil"/>
              <w:left w:val="nil"/>
              <w:bottom w:val="single" w:sz="4" w:space="0" w:color="auto"/>
              <w:right w:val="single" w:sz="4" w:space="0" w:color="auto"/>
            </w:tcBorders>
            <w:shd w:val="clear" w:color="auto" w:fill="auto"/>
            <w:noWrap/>
            <w:vAlign w:val="bottom"/>
            <w:hideMark/>
          </w:tcPr>
          <w:p w14:paraId="50FB26F7" w14:textId="77777777" w:rsidR="00E04ABD" w:rsidRPr="00721B07" w:rsidRDefault="00E04ABD" w:rsidP="00B0051B">
            <w:pPr>
              <w:jc w:val="right"/>
              <w:rPr>
                <w:rFonts w:ascii="Arial" w:hAnsi="Arial" w:cs="Arial"/>
                <w:color w:val="000000"/>
              </w:rPr>
            </w:pPr>
            <w:r w:rsidRPr="00721B07">
              <w:rPr>
                <w:rFonts w:ascii="Arial" w:hAnsi="Arial" w:cs="Arial"/>
                <w:color w:val="000000"/>
              </w:rPr>
              <w:t>5.448</w:t>
            </w:r>
          </w:p>
        </w:tc>
        <w:tc>
          <w:tcPr>
            <w:tcW w:w="1240" w:type="dxa"/>
            <w:tcBorders>
              <w:top w:val="nil"/>
              <w:left w:val="nil"/>
              <w:bottom w:val="single" w:sz="4" w:space="0" w:color="auto"/>
              <w:right w:val="single" w:sz="4" w:space="0" w:color="auto"/>
            </w:tcBorders>
            <w:shd w:val="clear" w:color="auto" w:fill="auto"/>
            <w:noWrap/>
            <w:vAlign w:val="bottom"/>
            <w:hideMark/>
          </w:tcPr>
          <w:p w14:paraId="4E12C2DF" w14:textId="77777777" w:rsidR="00E04ABD" w:rsidRPr="00721B07" w:rsidRDefault="00E04ABD" w:rsidP="00B0051B">
            <w:pPr>
              <w:jc w:val="right"/>
              <w:rPr>
                <w:rFonts w:ascii="Arial" w:hAnsi="Arial" w:cs="Arial"/>
                <w:color w:val="000000"/>
              </w:rPr>
            </w:pPr>
            <w:r w:rsidRPr="00721B07">
              <w:rPr>
                <w:rFonts w:ascii="Arial" w:hAnsi="Arial" w:cs="Arial"/>
                <w:color w:val="000000"/>
              </w:rPr>
              <w:t>0.920</w:t>
            </w:r>
          </w:p>
        </w:tc>
      </w:tr>
      <w:tr w:rsidR="00E04ABD" w:rsidRPr="00721B07" w14:paraId="781BD98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EA0B081" w14:textId="77777777" w:rsidR="00E04ABD" w:rsidRPr="00721B07" w:rsidRDefault="00E04ABD" w:rsidP="00B0051B">
            <w:pPr>
              <w:rPr>
                <w:rFonts w:ascii="Arial" w:hAnsi="Arial" w:cs="Arial"/>
                <w:color w:val="000000"/>
              </w:rPr>
            </w:pPr>
            <w:r w:rsidRPr="00721B07">
              <w:rPr>
                <w:rFonts w:ascii="Arial" w:hAnsi="Arial" w:cs="Arial"/>
                <w:color w:val="000000"/>
              </w:rPr>
              <w:t>Primary diagnosis: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5A01483" w14:textId="77777777" w:rsidR="00E04ABD" w:rsidRPr="00721B07" w:rsidRDefault="00E04ABD" w:rsidP="00B0051B">
            <w:pPr>
              <w:jc w:val="right"/>
              <w:rPr>
                <w:rFonts w:ascii="Arial" w:hAnsi="Arial" w:cs="Arial"/>
                <w:color w:val="000000"/>
              </w:rPr>
            </w:pPr>
            <w:r w:rsidRPr="00721B07">
              <w:rPr>
                <w:rFonts w:ascii="Arial" w:hAnsi="Arial" w:cs="Arial"/>
                <w:color w:val="000000"/>
              </w:rPr>
              <w:t>-8.111</w:t>
            </w:r>
          </w:p>
        </w:tc>
        <w:tc>
          <w:tcPr>
            <w:tcW w:w="1240" w:type="dxa"/>
            <w:tcBorders>
              <w:top w:val="nil"/>
              <w:left w:val="nil"/>
              <w:bottom w:val="single" w:sz="4" w:space="0" w:color="auto"/>
              <w:right w:val="single" w:sz="4" w:space="0" w:color="auto"/>
            </w:tcBorders>
            <w:shd w:val="clear" w:color="auto" w:fill="auto"/>
            <w:noWrap/>
            <w:vAlign w:val="bottom"/>
            <w:hideMark/>
          </w:tcPr>
          <w:p w14:paraId="593FC2A6" w14:textId="77777777" w:rsidR="00E04ABD" w:rsidRPr="00721B07" w:rsidRDefault="00E04ABD" w:rsidP="00B0051B">
            <w:pPr>
              <w:jc w:val="right"/>
              <w:rPr>
                <w:rFonts w:ascii="Arial" w:hAnsi="Arial" w:cs="Arial"/>
                <w:color w:val="000000"/>
              </w:rPr>
            </w:pPr>
            <w:r w:rsidRPr="00721B07">
              <w:rPr>
                <w:rFonts w:ascii="Arial" w:hAnsi="Arial" w:cs="Arial"/>
                <w:color w:val="000000"/>
              </w:rPr>
              <w:t>2.951</w:t>
            </w:r>
          </w:p>
        </w:tc>
        <w:tc>
          <w:tcPr>
            <w:tcW w:w="1240" w:type="dxa"/>
            <w:tcBorders>
              <w:top w:val="nil"/>
              <w:left w:val="nil"/>
              <w:bottom w:val="single" w:sz="4" w:space="0" w:color="auto"/>
              <w:right w:val="single" w:sz="4" w:space="0" w:color="auto"/>
            </w:tcBorders>
            <w:shd w:val="clear" w:color="auto" w:fill="auto"/>
            <w:noWrap/>
            <w:vAlign w:val="bottom"/>
            <w:hideMark/>
          </w:tcPr>
          <w:p w14:paraId="7E1B4B11" w14:textId="77777777" w:rsidR="00E04ABD" w:rsidRPr="00721B07" w:rsidRDefault="00E04ABD" w:rsidP="00B0051B">
            <w:pPr>
              <w:jc w:val="right"/>
              <w:rPr>
                <w:rFonts w:ascii="Arial" w:hAnsi="Arial" w:cs="Arial"/>
                <w:color w:val="000000"/>
              </w:rPr>
            </w:pPr>
            <w:r w:rsidRPr="00721B07">
              <w:rPr>
                <w:rFonts w:ascii="Arial" w:hAnsi="Arial" w:cs="Arial"/>
                <w:color w:val="000000"/>
              </w:rPr>
              <w:t>0.006</w:t>
            </w:r>
          </w:p>
        </w:tc>
      </w:tr>
      <w:tr w:rsidR="00E04ABD" w:rsidRPr="00721B07" w14:paraId="4C2C2F5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F756177" w14:textId="77777777" w:rsidR="00E04ABD" w:rsidRPr="00721B07" w:rsidRDefault="00E04ABD" w:rsidP="00B0051B">
            <w:pPr>
              <w:rPr>
                <w:rFonts w:ascii="Arial" w:hAnsi="Arial" w:cs="Arial"/>
                <w:color w:val="000000"/>
              </w:rPr>
            </w:pPr>
            <w:r w:rsidRPr="00721B07">
              <w:rPr>
                <w:rFonts w:ascii="Arial" w:hAnsi="Arial" w:cs="Arial"/>
                <w:color w:val="000000"/>
              </w:rPr>
              <w:t>Primary diagnosis: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5290672" w14:textId="77777777" w:rsidR="00E04ABD" w:rsidRPr="00721B07" w:rsidRDefault="00E04ABD" w:rsidP="00B0051B">
            <w:pPr>
              <w:jc w:val="right"/>
              <w:rPr>
                <w:rFonts w:ascii="Arial" w:hAnsi="Arial" w:cs="Arial"/>
                <w:color w:val="000000"/>
              </w:rPr>
            </w:pPr>
            <w:r w:rsidRPr="00721B07">
              <w:rPr>
                <w:rFonts w:ascii="Arial" w:hAnsi="Arial" w:cs="Arial"/>
                <w:color w:val="000000"/>
              </w:rPr>
              <w:t>-6.352</w:t>
            </w:r>
          </w:p>
        </w:tc>
        <w:tc>
          <w:tcPr>
            <w:tcW w:w="1240" w:type="dxa"/>
            <w:tcBorders>
              <w:top w:val="nil"/>
              <w:left w:val="nil"/>
              <w:bottom w:val="single" w:sz="4" w:space="0" w:color="auto"/>
              <w:right w:val="single" w:sz="4" w:space="0" w:color="auto"/>
            </w:tcBorders>
            <w:shd w:val="clear" w:color="auto" w:fill="auto"/>
            <w:noWrap/>
            <w:vAlign w:val="bottom"/>
            <w:hideMark/>
          </w:tcPr>
          <w:p w14:paraId="01E912B1" w14:textId="77777777" w:rsidR="00E04ABD" w:rsidRPr="00721B07" w:rsidRDefault="00E04ABD" w:rsidP="00B0051B">
            <w:pPr>
              <w:jc w:val="right"/>
              <w:rPr>
                <w:rFonts w:ascii="Arial" w:hAnsi="Arial" w:cs="Arial"/>
                <w:color w:val="000000"/>
              </w:rPr>
            </w:pPr>
            <w:r w:rsidRPr="00721B07">
              <w:rPr>
                <w:rFonts w:ascii="Arial" w:hAnsi="Arial" w:cs="Arial"/>
                <w:color w:val="000000"/>
              </w:rPr>
              <w:t>1.869</w:t>
            </w:r>
          </w:p>
        </w:tc>
        <w:tc>
          <w:tcPr>
            <w:tcW w:w="1240" w:type="dxa"/>
            <w:tcBorders>
              <w:top w:val="nil"/>
              <w:left w:val="nil"/>
              <w:bottom w:val="single" w:sz="4" w:space="0" w:color="auto"/>
              <w:right w:val="single" w:sz="4" w:space="0" w:color="auto"/>
            </w:tcBorders>
            <w:shd w:val="clear" w:color="auto" w:fill="auto"/>
            <w:noWrap/>
            <w:vAlign w:val="bottom"/>
            <w:hideMark/>
          </w:tcPr>
          <w:p w14:paraId="657ECA85"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16D6AAD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6208048" w14:textId="77777777" w:rsidR="00E04ABD" w:rsidRPr="00721B07" w:rsidRDefault="00E04ABD" w:rsidP="00B0051B">
            <w:pPr>
              <w:rPr>
                <w:rFonts w:ascii="Arial" w:hAnsi="Arial" w:cs="Arial"/>
                <w:color w:val="000000"/>
              </w:rPr>
            </w:pPr>
            <w:r w:rsidRPr="00721B07">
              <w:rPr>
                <w:rFonts w:ascii="Arial" w:hAnsi="Arial" w:cs="Arial"/>
                <w:color w:val="000000"/>
              </w:rPr>
              <w:t>Primary diagnosis: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7E63109" w14:textId="77777777" w:rsidR="00E04ABD" w:rsidRPr="00721B07" w:rsidRDefault="00E04ABD" w:rsidP="00B0051B">
            <w:pPr>
              <w:jc w:val="right"/>
              <w:rPr>
                <w:rFonts w:ascii="Arial" w:hAnsi="Arial" w:cs="Arial"/>
                <w:color w:val="000000"/>
              </w:rPr>
            </w:pPr>
            <w:r w:rsidRPr="00721B07">
              <w:rPr>
                <w:rFonts w:ascii="Arial" w:hAnsi="Arial" w:cs="Arial"/>
                <w:color w:val="000000"/>
              </w:rPr>
              <w:t>-7.195</w:t>
            </w:r>
          </w:p>
        </w:tc>
        <w:tc>
          <w:tcPr>
            <w:tcW w:w="1240" w:type="dxa"/>
            <w:tcBorders>
              <w:top w:val="nil"/>
              <w:left w:val="nil"/>
              <w:bottom w:val="single" w:sz="4" w:space="0" w:color="auto"/>
              <w:right w:val="single" w:sz="4" w:space="0" w:color="auto"/>
            </w:tcBorders>
            <w:shd w:val="clear" w:color="auto" w:fill="auto"/>
            <w:noWrap/>
            <w:vAlign w:val="bottom"/>
            <w:hideMark/>
          </w:tcPr>
          <w:p w14:paraId="14F3E8CF" w14:textId="77777777" w:rsidR="00E04ABD" w:rsidRPr="00721B07" w:rsidRDefault="00E04ABD" w:rsidP="00B0051B">
            <w:pPr>
              <w:jc w:val="right"/>
              <w:rPr>
                <w:rFonts w:ascii="Arial" w:hAnsi="Arial" w:cs="Arial"/>
                <w:color w:val="000000"/>
              </w:rPr>
            </w:pPr>
            <w:r w:rsidRPr="00721B07">
              <w:rPr>
                <w:rFonts w:ascii="Arial" w:hAnsi="Arial" w:cs="Arial"/>
                <w:color w:val="000000"/>
              </w:rPr>
              <w:t>1.481</w:t>
            </w:r>
          </w:p>
        </w:tc>
        <w:tc>
          <w:tcPr>
            <w:tcW w:w="1240" w:type="dxa"/>
            <w:tcBorders>
              <w:top w:val="nil"/>
              <w:left w:val="nil"/>
              <w:bottom w:val="single" w:sz="4" w:space="0" w:color="auto"/>
              <w:right w:val="single" w:sz="4" w:space="0" w:color="auto"/>
            </w:tcBorders>
            <w:shd w:val="clear" w:color="auto" w:fill="auto"/>
            <w:noWrap/>
            <w:vAlign w:val="bottom"/>
            <w:hideMark/>
          </w:tcPr>
          <w:p w14:paraId="6C370C1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45336F5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465AD3D" w14:textId="77777777" w:rsidR="00E04ABD" w:rsidRPr="00721B07" w:rsidRDefault="00E04ABD" w:rsidP="00B0051B">
            <w:pPr>
              <w:rPr>
                <w:rFonts w:ascii="Arial" w:hAnsi="Arial" w:cs="Arial"/>
                <w:color w:val="000000"/>
              </w:rPr>
            </w:pPr>
            <w:r w:rsidRPr="00721B07">
              <w:rPr>
                <w:rFonts w:ascii="Arial" w:hAnsi="Arial" w:cs="Arial"/>
                <w:color w:val="000000"/>
              </w:rPr>
              <w:t>Interaction: Stroke</w:t>
            </w:r>
          </w:p>
        </w:tc>
        <w:tc>
          <w:tcPr>
            <w:tcW w:w="1457" w:type="dxa"/>
            <w:tcBorders>
              <w:top w:val="nil"/>
              <w:left w:val="nil"/>
              <w:bottom w:val="single" w:sz="4" w:space="0" w:color="auto"/>
              <w:right w:val="single" w:sz="4" w:space="0" w:color="auto"/>
            </w:tcBorders>
            <w:shd w:val="clear" w:color="auto" w:fill="auto"/>
            <w:noWrap/>
            <w:vAlign w:val="bottom"/>
            <w:hideMark/>
          </w:tcPr>
          <w:p w14:paraId="0BB3C58B" w14:textId="77777777" w:rsidR="00E04ABD" w:rsidRPr="00721B07" w:rsidRDefault="00E04ABD" w:rsidP="00B0051B">
            <w:pPr>
              <w:jc w:val="right"/>
              <w:rPr>
                <w:rFonts w:ascii="Arial" w:hAnsi="Arial" w:cs="Arial"/>
                <w:color w:val="000000"/>
              </w:rPr>
            </w:pPr>
            <w:r w:rsidRPr="00721B07">
              <w:rPr>
                <w:rFonts w:ascii="Arial" w:hAnsi="Arial" w:cs="Arial"/>
                <w:color w:val="000000"/>
              </w:rPr>
              <w:t>0.361</w:t>
            </w:r>
          </w:p>
        </w:tc>
        <w:tc>
          <w:tcPr>
            <w:tcW w:w="1240" w:type="dxa"/>
            <w:tcBorders>
              <w:top w:val="nil"/>
              <w:left w:val="nil"/>
              <w:bottom w:val="single" w:sz="4" w:space="0" w:color="auto"/>
              <w:right w:val="single" w:sz="4" w:space="0" w:color="auto"/>
            </w:tcBorders>
            <w:shd w:val="clear" w:color="auto" w:fill="auto"/>
            <w:noWrap/>
            <w:vAlign w:val="bottom"/>
            <w:hideMark/>
          </w:tcPr>
          <w:p w14:paraId="0AAE2ACF" w14:textId="77777777" w:rsidR="00E04ABD" w:rsidRPr="00721B07" w:rsidRDefault="00E04ABD" w:rsidP="00B0051B">
            <w:pPr>
              <w:jc w:val="right"/>
              <w:rPr>
                <w:rFonts w:ascii="Arial" w:hAnsi="Arial" w:cs="Arial"/>
                <w:color w:val="000000"/>
              </w:rPr>
            </w:pPr>
            <w:r w:rsidRPr="00721B07">
              <w:rPr>
                <w:rFonts w:ascii="Arial" w:hAnsi="Arial" w:cs="Arial"/>
                <w:color w:val="000000"/>
              </w:rPr>
              <w:t>0.097</w:t>
            </w:r>
          </w:p>
        </w:tc>
        <w:tc>
          <w:tcPr>
            <w:tcW w:w="1240" w:type="dxa"/>
            <w:tcBorders>
              <w:top w:val="nil"/>
              <w:left w:val="nil"/>
              <w:bottom w:val="single" w:sz="4" w:space="0" w:color="auto"/>
              <w:right w:val="single" w:sz="4" w:space="0" w:color="auto"/>
            </w:tcBorders>
            <w:shd w:val="clear" w:color="auto" w:fill="auto"/>
            <w:noWrap/>
            <w:vAlign w:val="bottom"/>
            <w:hideMark/>
          </w:tcPr>
          <w:p w14:paraId="56ACFB5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9FFEB8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143D0B8"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01AB1ACF" w14:textId="77777777" w:rsidR="00E04ABD" w:rsidRPr="00721B07" w:rsidRDefault="00E04ABD" w:rsidP="00B0051B">
            <w:pPr>
              <w:jc w:val="right"/>
              <w:rPr>
                <w:rFonts w:ascii="Arial" w:hAnsi="Arial" w:cs="Arial"/>
                <w:color w:val="000000"/>
              </w:rPr>
            </w:pPr>
            <w:r w:rsidRPr="00721B07">
              <w:rPr>
                <w:rFonts w:ascii="Arial" w:hAnsi="Arial" w:cs="Arial"/>
                <w:color w:val="000000"/>
              </w:rPr>
              <w:t>0.425</w:t>
            </w:r>
          </w:p>
        </w:tc>
        <w:tc>
          <w:tcPr>
            <w:tcW w:w="1240" w:type="dxa"/>
            <w:tcBorders>
              <w:top w:val="nil"/>
              <w:left w:val="nil"/>
              <w:bottom w:val="single" w:sz="4" w:space="0" w:color="auto"/>
              <w:right w:val="single" w:sz="4" w:space="0" w:color="auto"/>
            </w:tcBorders>
            <w:shd w:val="clear" w:color="auto" w:fill="auto"/>
            <w:noWrap/>
            <w:vAlign w:val="bottom"/>
            <w:hideMark/>
          </w:tcPr>
          <w:p w14:paraId="1C302342" w14:textId="77777777" w:rsidR="00E04ABD" w:rsidRPr="00721B07" w:rsidRDefault="00E04ABD" w:rsidP="00B0051B">
            <w:pPr>
              <w:jc w:val="right"/>
              <w:rPr>
                <w:rFonts w:ascii="Arial" w:hAnsi="Arial" w:cs="Arial"/>
                <w:color w:val="000000"/>
              </w:rPr>
            </w:pPr>
            <w:r w:rsidRPr="00721B07">
              <w:rPr>
                <w:rFonts w:ascii="Arial" w:hAnsi="Arial" w:cs="Arial"/>
                <w:color w:val="000000"/>
              </w:rPr>
              <w:t>0.710</w:t>
            </w:r>
          </w:p>
        </w:tc>
        <w:tc>
          <w:tcPr>
            <w:tcW w:w="1240" w:type="dxa"/>
            <w:tcBorders>
              <w:top w:val="nil"/>
              <w:left w:val="nil"/>
              <w:bottom w:val="single" w:sz="4" w:space="0" w:color="auto"/>
              <w:right w:val="single" w:sz="4" w:space="0" w:color="auto"/>
            </w:tcBorders>
            <w:shd w:val="clear" w:color="auto" w:fill="auto"/>
            <w:noWrap/>
            <w:vAlign w:val="bottom"/>
            <w:hideMark/>
          </w:tcPr>
          <w:p w14:paraId="7DC56D52" w14:textId="77777777" w:rsidR="00E04ABD" w:rsidRPr="00721B07" w:rsidRDefault="00E04ABD" w:rsidP="00B0051B">
            <w:pPr>
              <w:jc w:val="right"/>
              <w:rPr>
                <w:rFonts w:ascii="Arial" w:hAnsi="Arial" w:cs="Arial"/>
                <w:color w:val="000000"/>
              </w:rPr>
            </w:pPr>
            <w:r w:rsidRPr="00721B07">
              <w:rPr>
                <w:rFonts w:ascii="Arial" w:hAnsi="Arial" w:cs="Arial"/>
                <w:color w:val="000000"/>
              </w:rPr>
              <w:t>0.549</w:t>
            </w:r>
          </w:p>
        </w:tc>
      </w:tr>
      <w:tr w:rsidR="00E04ABD" w:rsidRPr="00721B07" w14:paraId="64C244D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9FBAD48"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brain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173353B6" w14:textId="77777777" w:rsidR="00E04ABD" w:rsidRPr="00721B07" w:rsidRDefault="00E04ABD" w:rsidP="00B0051B">
            <w:pPr>
              <w:jc w:val="right"/>
              <w:rPr>
                <w:rFonts w:ascii="Arial" w:hAnsi="Arial" w:cs="Arial"/>
                <w:color w:val="000000"/>
              </w:rPr>
            </w:pPr>
            <w:r w:rsidRPr="00721B07">
              <w:rPr>
                <w:rFonts w:ascii="Arial" w:hAnsi="Arial" w:cs="Arial"/>
                <w:color w:val="000000"/>
              </w:rPr>
              <w:t>1.056</w:t>
            </w:r>
          </w:p>
        </w:tc>
        <w:tc>
          <w:tcPr>
            <w:tcW w:w="1240" w:type="dxa"/>
            <w:tcBorders>
              <w:top w:val="nil"/>
              <w:left w:val="nil"/>
              <w:bottom w:val="single" w:sz="4" w:space="0" w:color="auto"/>
              <w:right w:val="single" w:sz="4" w:space="0" w:color="auto"/>
            </w:tcBorders>
            <w:shd w:val="clear" w:color="auto" w:fill="auto"/>
            <w:noWrap/>
            <w:vAlign w:val="bottom"/>
            <w:hideMark/>
          </w:tcPr>
          <w:p w14:paraId="271F3B92" w14:textId="77777777" w:rsidR="00E04ABD" w:rsidRPr="00721B07" w:rsidRDefault="00E04ABD" w:rsidP="00B0051B">
            <w:pPr>
              <w:jc w:val="right"/>
              <w:rPr>
                <w:rFonts w:ascii="Arial" w:hAnsi="Arial" w:cs="Arial"/>
                <w:color w:val="000000"/>
              </w:rPr>
            </w:pPr>
            <w:r w:rsidRPr="00721B07">
              <w:rPr>
                <w:rFonts w:ascii="Arial" w:hAnsi="Arial" w:cs="Arial"/>
                <w:color w:val="000000"/>
              </w:rPr>
              <w:t>0.234</w:t>
            </w:r>
          </w:p>
        </w:tc>
        <w:tc>
          <w:tcPr>
            <w:tcW w:w="1240" w:type="dxa"/>
            <w:tcBorders>
              <w:top w:val="nil"/>
              <w:left w:val="nil"/>
              <w:bottom w:val="single" w:sz="4" w:space="0" w:color="auto"/>
              <w:right w:val="single" w:sz="4" w:space="0" w:color="auto"/>
            </w:tcBorders>
            <w:shd w:val="clear" w:color="auto" w:fill="auto"/>
            <w:noWrap/>
            <w:vAlign w:val="bottom"/>
            <w:hideMark/>
          </w:tcPr>
          <w:p w14:paraId="743D0A55"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6338C5B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BD867A5" w14:textId="77777777" w:rsidR="00E04ABD" w:rsidRPr="00721B07" w:rsidRDefault="00E04ABD" w:rsidP="00B0051B">
            <w:pPr>
              <w:rPr>
                <w:rFonts w:ascii="Arial" w:hAnsi="Arial" w:cs="Arial"/>
                <w:color w:val="000000"/>
              </w:rPr>
            </w:pPr>
            <w:r w:rsidRPr="00721B07">
              <w:rPr>
                <w:rFonts w:ascii="Arial" w:hAnsi="Arial" w:cs="Arial"/>
                <w:color w:val="000000"/>
              </w:rPr>
              <w:t>Interaction: Non-traumatic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080CCF81" w14:textId="77777777" w:rsidR="00E04ABD" w:rsidRPr="00721B07" w:rsidRDefault="00E04ABD" w:rsidP="00B0051B">
            <w:pPr>
              <w:jc w:val="right"/>
              <w:rPr>
                <w:rFonts w:ascii="Arial" w:hAnsi="Arial" w:cs="Arial"/>
                <w:color w:val="000000"/>
              </w:rPr>
            </w:pPr>
            <w:r w:rsidRPr="00721B07">
              <w:rPr>
                <w:rFonts w:ascii="Arial" w:hAnsi="Arial" w:cs="Arial"/>
                <w:color w:val="000000"/>
              </w:rPr>
              <w:t>0.174</w:t>
            </w:r>
          </w:p>
        </w:tc>
        <w:tc>
          <w:tcPr>
            <w:tcW w:w="1240" w:type="dxa"/>
            <w:tcBorders>
              <w:top w:val="nil"/>
              <w:left w:val="nil"/>
              <w:bottom w:val="single" w:sz="4" w:space="0" w:color="auto"/>
              <w:right w:val="single" w:sz="4" w:space="0" w:color="auto"/>
            </w:tcBorders>
            <w:shd w:val="clear" w:color="auto" w:fill="auto"/>
            <w:noWrap/>
            <w:vAlign w:val="bottom"/>
            <w:hideMark/>
          </w:tcPr>
          <w:p w14:paraId="6E8141EE" w14:textId="77777777" w:rsidR="00E04ABD" w:rsidRPr="00721B07" w:rsidRDefault="00E04ABD" w:rsidP="00B0051B">
            <w:pPr>
              <w:jc w:val="right"/>
              <w:rPr>
                <w:rFonts w:ascii="Arial" w:hAnsi="Arial" w:cs="Arial"/>
                <w:color w:val="000000"/>
              </w:rPr>
            </w:pPr>
            <w:r w:rsidRPr="00721B07">
              <w:rPr>
                <w:rFonts w:ascii="Arial" w:hAnsi="Arial" w:cs="Arial"/>
                <w:color w:val="000000"/>
              </w:rPr>
              <w:t>0.373</w:t>
            </w:r>
          </w:p>
        </w:tc>
        <w:tc>
          <w:tcPr>
            <w:tcW w:w="1240" w:type="dxa"/>
            <w:tcBorders>
              <w:top w:val="nil"/>
              <w:left w:val="nil"/>
              <w:bottom w:val="single" w:sz="4" w:space="0" w:color="auto"/>
              <w:right w:val="single" w:sz="4" w:space="0" w:color="auto"/>
            </w:tcBorders>
            <w:shd w:val="clear" w:color="auto" w:fill="auto"/>
            <w:noWrap/>
            <w:vAlign w:val="bottom"/>
            <w:hideMark/>
          </w:tcPr>
          <w:p w14:paraId="6FCB3EE5" w14:textId="77777777" w:rsidR="00E04ABD" w:rsidRPr="00721B07" w:rsidRDefault="00E04ABD" w:rsidP="00B0051B">
            <w:pPr>
              <w:jc w:val="right"/>
              <w:rPr>
                <w:rFonts w:ascii="Arial" w:hAnsi="Arial" w:cs="Arial"/>
                <w:color w:val="000000"/>
              </w:rPr>
            </w:pPr>
            <w:r w:rsidRPr="00721B07">
              <w:rPr>
                <w:rFonts w:ascii="Arial" w:hAnsi="Arial" w:cs="Arial"/>
                <w:color w:val="000000"/>
              </w:rPr>
              <w:t>0.641</w:t>
            </w:r>
          </w:p>
        </w:tc>
      </w:tr>
      <w:tr w:rsidR="00E04ABD" w:rsidRPr="00721B07" w14:paraId="4B2AB2F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405ADF6" w14:textId="77777777" w:rsidR="00E04ABD" w:rsidRPr="00721B07" w:rsidRDefault="00E04ABD" w:rsidP="00B0051B">
            <w:pPr>
              <w:rPr>
                <w:rFonts w:ascii="Arial" w:hAnsi="Arial" w:cs="Arial"/>
                <w:color w:val="000000"/>
              </w:rPr>
            </w:pPr>
            <w:r w:rsidRPr="00721B07">
              <w:rPr>
                <w:rFonts w:ascii="Arial" w:hAnsi="Arial" w:cs="Arial"/>
                <w:color w:val="000000"/>
              </w:rPr>
              <w:t>Interaction: Traumatic spinal cord dysfunction</w:t>
            </w:r>
          </w:p>
        </w:tc>
        <w:tc>
          <w:tcPr>
            <w:tcW w:w="1457" w:type="dxa"/>
            <w:tcBorders>
              <w:top w:val="nil"/>
              <w:left w:val="nil"/>
              <w:bottom w:val="single" w:sz="4" w:space="0" w:color="auto"/>
              <w:right w:val="single" w:sz="4" w:space="0" w:color="auto"/>
            </w:tcBorders>
            <w:shd w:val="clear" w:color="auto" w:fill="auto"/>
            <w:noWrap/>
            <w:vAlign w:val="bottom"/>
            <w:hideMark/>
          </w:tcPr>
          <w:p w14:paraId="38EF7DD9" w14:textId="77777777" w:rsidR="00E04ABD" w:rsidRPr="00721B07" w:rsidRDefault="00E04ABD" w:rsidP="00B0051B">
            <w:pPr>
              <w:jc w:val="right"/>
              <w:rPr>
                <w:rFonts w:ascii="Arial" w:hAnsi="Arial" w:cs="Arial"/>
                <w:color w:val="000000"/>
              </w:rPr>
            </w:pPr>
            <w:r w:rsidRPr="00721B07">
              <w:rPr>
                <w:rFonts w:ascii="Arial" w:hAnsi="Arial" w:cs="Arial"/>
                <w:color w:val="000000"/>
              </w:rPr>
              <w:t>-1.110</w:t>
            </w:r>
          </w:p>
        </w:tc>
        <w:tc>
          <w:tcPr>
            <w:tcW w:w="1240" w:type="dxa"/>
            <w:tcBorders>
              <w:top w:val="nil"/>
              <w:left w:val="nil"/>
              <w:bottom w:val="single" w:sz="4" w:space="0" w:color="auto"/>
              <w:right w:val="single" w:sz="4" w:space="0" w:color="auto"/>
            </w:tcBorders>
            <w:shd w:val="clear" w:color="auto" w:fill="auto"/>
            <w:noWrap/>
            <w:vAlign w:val="bottom"/>
            <w:hideMark/>
          </w:tcPr>
          <w:p w14:paraId="56BBD29C" w14:textId="77777777" w:rsidR="00E04ABD" w:rsidRPr="00721B07" w:rsidRDefault="00E04ABD" w:rsidP="00B0051B">
            <w:pPr>
              <w:jc w:val="right"/>
              <w:rPr>
                <w:rFonts w:ascii="Arial" w:hAnsi="Arial" w:cs="Arial"/>
                <w:color w:val="000000"/>
              </w:rPr>
            </w:pPr>
            <w:r w:rsidRPr="00721B07">
              <w:rPr>
                <w:rFonts w:ascii="Arial" w:hAnsi="Arial" w:cs="Arial"/>
                <w:color w:val="000000"/>
              </w:rPr>
              <w:t>0.681</w:t>
            </w:r>
          </w:p>
        </w:tc>
        <w:tc>
          <w:tcPr>
            <w:tcW w:w="1240" w:type="dxa"/>
            <w:tcBorders>
              <w:top w:val="nil"/>
              <w:left w:val="nil"/>
              <w:bottom w:val="single" w:sz="4" w:space="0" w:color="auto"/>
              <w:right w:val="single" w:sz="4" w:space="0" w:color="auto"/>
            </w:tcBorders>
            <w:shd w:val="clear" w:color="auto" w:fill="auto"/>
            <w:noWrap/>
            <w:vAlign w:val="bottom"/>
            <w:hideMark/>
          </w:tcPr>
          <w:p w14:paraId="7E8B9045" w14:textId="77777777" w:rsidR="00E04ABD" w:rsidRPr="00721B07" w:rsidRDefault="00E04ABD" w:rsidP="00B0051B">
            <w:pPr>
              <w:jc w:val="right"/>
              <w:rPr>
                <w:rFonts w:ascii="Arial" w:hAnsi="Arial" w:cs="Arial"/>
                <w:color w:val="000000"/>
              </w:rPr>
            </w:pPr>
            <w:r w:rsidRPr="00721B07">
              <w:rPr>
                <w:rFonts w:ascii="Arial" w:hAnsi="Arial" w:cs="Arial"/>
                <w:color w:val="000000"/>
              </w:rPr>
              <w:t>0.103</w:t>
            </w:r>
          </w:p>
        </w:tc>
      </w:tr>
      <w:tr w:rsidR="00E04ABD" w:rsidRPr="00721B07" w14:paraId="218718A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0203FA3" w14:textId="77777777" w:rsidR="00E04ABD" w:rsidRPr="00721B07" w:rsidRDefault="00E04ABD" w:rsidP="00B0051B">
            <w:pPr>
              <w:rPr>
                <w:rFonts w:ascii="Arial" w:hAnsi="Arial" w:cs="Arial"/>
                <w:color w:val="000000"/>
              </w:rPr>
            </w:pPr>
            <w:r w:rsidRPr="00721B07">
              <w:rPr>
                <w:rFonts w:ascii="Arial" w:hAnsi="Arial" w:cs="Arial"/>
                <w:color w:val="000000"/>
              </w:rPr>
              <w:t>Interaction: Progressive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303639DD" w14:textId="77777777" w:rsidR="00E04ABD" w:rsidRPr="00721B07" w:rsidRDefault="00E04ABD" w:rsidP="00B0051B">
            <w:pPr>
              <w:jc w:val="right"/>
              <w:rPr>
                <w:rFonts w:ascii="Arial" w:hAnsi="Arial" w:cs="Arial"/>
                <w:color w:val="000000"/>
              </w:rPr>
            </w:pPr>
            <w:r w:rsidRPr="00721B07">
              <w:rPr>
                <w:rFonts w:ascii="Arial" w:hAnsi="Arial" w:cs="Arial"/>
                <w:color w:val="000000"/>
              </w:rPr>
              <w:t>-0.222</w:t>
            </w:r>
          </w:p>
        </w:tc>
        <w:tc>
          <w:tcPr>
            <w:tcW w:w="1240" w:type="dxa"/>
            <w:tcBorders>
              <w:top w:val="nil"/>
              <w:left w:val="nil"/>
              <w:bottom w:val="single" w:sz="4" w:space="0" w:color="auto"/>
              <w:right w:val="single" w:sz="4" w:space="0" w:color="auto"/>
            </w:tcBorders>
            <w:shd w:val="clear" w:color="auto" w:fill="auto"/>
            <w:noWrap/>
            <w:vAlign w:val="bottom"/>
            <w:hideMark/>
          </w:tcPr>
          <w:p w14:paraId="2B56B179" w14:textId="77777777" w:rsidR="00E04ABD" w:rsidRPr="00721B07" w:rsidRDefault="00E04ABD" w:rsidP="00B0051B">
            <w:pPr>
              <w:jc w:val="right"/>
              <w:rPr>
                <w:rFonts w:ascii="Arial" w:hAnsi="Arial" w:cs="Arial"/>
                <w:color w:val="000000"/>
              </w:rPr>
            </w:pPr>
            <w:r w:rsidRPr="00721B07">
              <w:rPr>
                <w:rFonts w:ascii="Arial" w:hAnsi="Arial" w:cs="Arial"/>
                <w:color w:val="000000"/>
              </w:rPr>
              <w:t>0.240</w:t>
            </w:r>
          </w:p>
        </w:tc>
        <w:tc>
          <w:tcPr>
            <w:tcW w:w="1240" w:type="dxa"/>
            <w:tcBorders>
              <w:top w:val="nil"/>
              <w:left w:val="nil"/>
              <w:bottom w:val="single" w:sz="4" w:space="0" w:color="auto"/>
              <w:right w:val="single" w:sz="4" w:space="0" w:color="auto"/>
            </w:tcBorders>
            <w:shd w:val="clear" w:color="auto" w:fill="auto"/>
            <w:noWrap/>
            <w:vAlign w:val="bottom"/>
            <w:hideMark/>
          </w:tcPr>
          <w:p w14:paraId="37E32ECC" w14:textId="77777777" w:rsidR="00E04ABD" w:rsidRPr="00721B07" w:rsidRDefault="00E04ABD" w:rsidP="00B0051B">
            <w:pPr>
              <w:jc w:val="right"/>
              <w:rPr>
                <w:rFonts w:ascii="Arial" w:hAnsi="Arial" w:cs="Arial"/>
                <w:color w:val="000000"/>
              </w:rPr>
            </w:pPr>
            <w:r w:rsidRPr="00721B07">
              <w:rPr>
                <w:rFonts w:ascii="Arial" w:hAnsi="Arial" w:cs="Arial"/>
                <w:color w:val="000000"/>
              </w:rPr>
              <w:t>0.354</w:t>
            </w:r>
          </w:p>
        </w:tc>
      </w:tr>
      <w:tr w:rsidR="00E04ABD" w:rsidRPr="00721B07" w14:paraId="59066E9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6C9C8FC" w14:textId="77777777" w:rsidR="00E04ABD" w:rsidRPr="00721B07" w:rsidRDefault="00E04ABD" w:rsidP="00B0051B">
            <w:pPr>
              <w:rPr>
                <w:rFonts w:ascii="Arial" w:hAnsi="Arial" w:cs="Arial"/>
                <w:color w:val="000000"/>
              </w:rPr>
            </w:pPr>
            <w:r w:rsidRPr="00721B07">
              <w:rPr>
                <w:rFonts w:ascii="Arial" w:hAnsi="Arial" w:cs="Arial"/>
                <w:color w:val="000000"/>
              </w:rPr>
              <w:t>Interaction: Other neurological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1630513A" w14:textId="77777777" w:rsidR="00E04ABD" w:rsidRPr="00721B07" w:rsidRDefault="00E04ABD" w:rsidP="00B0051B">
            <w:pPr>
              <w:jc w:val="right"/>
              <w:rPr>
                <w:rFonts w:ascii="Arial" w:hAnsi="Arial" w:cs="Arial"/>
                <w:color w:val="000000"/>
              </w:rPr>
            </w:pPr>
            <w:r w:rsidRPr="00721B07">
              <w:rPr>
                <w:rFonts w:ascii="Arial" w:hAnsi="Arial" w:cs="Arial"/>
                <w:color w:val="000000"/>
              </w:rPr>
              <w:t>0.288</w:t>
            </w:r>
          </w:p>
        </w:tc>
        <w:tc>
          <w:tcPr>
            <w:tcW w:w="1240" w:type="dxa"/>
            <w:tcBorders>
              <w:top w:val="nil"/>
              <w:left w:val="nil"/>
              <w:bottom w:val="single" w:sz="4" w:space="0" w:color="auto"/>
              <w:right w:val="single" w:sz="4" w:space="0" w:color="auto"/>
            </w:tcBorders>
            <w:shd w:val="clear" w:color="auto" w:fill="auto"/>
            <w:noWrap/>
            <w:vAlign w:val="bottom"/>
            <w:hideMark/>
          </w:tcPr>
          <w:p w14:paraId="56A8E434" w14:textId="77777777" w:rsidR="00E04ABD" w:rsidRPr="00721B07" w:rsidRDefault="00E04ABD" w:rsidP="00B0051B">
            <w:pPr>
              <w:jc w:val="right"/>
              <w:rPr>
                <w:rFonts w:ascii="Arial" w:hAnsi="Arial" w:cs="Arial"/>
                <w:color w:val="000000"/>
              </w:rPr>
            </w:pPr>
            <w:r w:rsidRPr="00721B07">
              <w:rPr>
                <w:rFonts w:ascii="Arial" w:hAnsi="Arial" w:cs="Arial"/>
                <w:color w:val="000000"/>
              </w:rPr>
              <w:t>0.205</w:t>
            </w:r>
          </w:p>
        </w:tc>
        <w:tc>
          <w:tcPr>
            <w:tcW w:w="1240" w:type="dxa"/>
            <w:tcBorders>
              <w:top w:val="nil"/>
              <w:left w:val="nil"/>
              <w:bottom w:val="single" w:sz="4" w:space="0" w:color="auto"/>
              <w:right w:val="single" w:sz="4" w:space="0" w:color="auto"/>
            </w:tcBorders>
            <w:shd w:val="clear" w:color="auto" w:fill="auto"/>
            <w:noWrap/>
            <w:vAlign w:val="bottom"/>
            <w:hideMark/>
          </w:tcPr>
          <w:p w14:paraId="28477955" w14:textId="77777777" w:rsidR="00E04ABD" w:rsidRPr="00721B07" w:rsidRDefault="00E04ABD" w:rsidP="00B0051B">
            <w:pPr>
              <w:jc w:val="right"/>
              <w:rPr>
                <w:rFonts w:ascii="Arial" w:hAnsi="Arial" w:cs="Arial"/>
                <w:color w:val="000000"/>
              </w:rPr>
            </w:pPr>
            <w:r w:rsidRPr="00721B07">
              <w:rPr>
                <w:rFonts w:ascii="Arial" w:hAnsi="Arial" w:cs="Arial"/>
                <w:color w:val="000000"/>
              </w:rPr>
              <w:t>0.159</w:t>
            </w:r>
          </w:p>
        </w:tc>
      </w:tr>
      <w:tr w:rsidR="00E04ABD" w:rsidRPr="00721B07" w14:paraId="42B2C3E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6CCB5D2" w14:textId="77777777" w:rsidR="00E04ABD" w:rsidRPr="00721B07" w:rsidRDefault="00E04ABD" w:rsidP="00B0051B">
            <w:pPr>
              <w:rPr>
                <w:rFonts w:ascii="Arial" w:hAnsi="Arial" w:cs="Arial"/>
                <w:color w:val="000000"/>
              </w:rPr>
            </w:pPr>
            <w:r w:rsidRPr="00721B07">
              <w:rPr>
                <w:rFonts w:ascii="Arial" w:hAnsi="Arial" w:cs="Arial"/>
                <w:color w:val="000000"/>
              </w:rPr>
              <w:t>Interaction: Fractures and other multiple trauma</w:t>
            </w:r>
          </w:p>
        </w:tc>
        <w:tc>
          <w:tcPr>
            <w:tcW w:w="1457" w:type="dxa"/>
            <w:tcBorders>
              <w:top w:val="nil"/>
              <w:left w:val="nil"/>
              <w:bottom w:val="single" w:sz="4" w:space="0" w:color="auto"/>
              <w:right w:val="single" w:sz="4" w:space="0" w:color="auto"/>
            </w:tcBorders>
            <w:shd w:val="clear" w:color="auto" w:fill="auto"/>
            <w:noWrap/>
            <w:vAlign w:val="bottom"/>
            <w:hideMark/>
          </w:tcPr>
          <w:p w14:paraId="566830E0" w14:textId="77777777" w:rsidR="00E04ABD" w:rsidRPr="00721B07" w:rsidRDefault="00E04ABD" w:rsidP="00B0051B">
            <w:pPr>
              <w:jc w:val="right"/>
              <w:rPr>
                <w:rFonts w:ascii="Arial" w:hAnsi="Arial" w:cs="Arial"/>
                <w:color w:val="000000"/>
              </w:rPr>
            </w:pPr>
            <w:r w:rsidRPr="00721B07">
              <w:rPr>
                <w:rFonts w:ascii="Arial" w:hAnsi="Arial" w:cs="Arial"/>
                <w:color w:val="000000"/>
              </w:rPr>
              <w:t>0.234</w:t>
            </w:r>
          </w:p>
        </w:tc>
        <w:tc>
          <w:tcPr>
            <w:tcW w:w="1240" w:type="dxa"/>
            <w:tcBorders>
              <w:top w:val="nil"/>
              <w:left w:val="nil"/>
              <w:bottom w:val="single" w:sz="4" w:space="0" w:color="auto"/>
              <w:right w:val="single" w:sz="4" w:space="0" w:color="auto"/>
            </w:tcBorders>
            <w:shd w:val="clear" w:color="auto" w:fill="auto"/>
            <w:noWrap/>
            <w:vAlign w:val="bottom"/>
            <w:hideMark/>
          </w:tcPr>
          <w:p w14:paraId="7627D751" w14:textId="77777777" w:rsidR="00E04ABD" w:rsidRPr="00721B07" w:rsidRDefault="00E04ABD" w:rsidP="00B0051B">
            <w:pPr>
              <w:jc w:val="right"/>
              <w:rPr>
                <w:rFonts w:ascii="Arial" w:hAnsi="Arial" w:cs="Arial"/>
                <w:color w:val="000000"/>
              </w:rPr>
            </w:pPr>
            <w:r w:rsidRPr="00721B07">
              <w:rPr>
                <w:rFonts w:ascii="Arial" w:hAnsi="Arial" w:cs="Arial"/>
                <w:color w:val="000000"/>
              </w:rPr>
              <w:t>0.080</w:t>
            </w:r>
          </w:p>
        </w:tc>
        <w:tc>
          <w:tcPr>
            <w:tcW w:w="1240" w:type="dxa"/>
            <w:tcBorders>
              <w:top w:val="nil"/>
              <w:left w:val="nil"/>
              <w:bottom w:val="single" w:sz="4" w:space="0" w:color="auto"/>
              <w:right w:val="single" w:sz="4" w:space="0" w:color="auto"/>
            </w:tcBorders>
            <w:shd w:val="clear" w:color="auto" w:fill="auto"/>
            <w:noWrap/>
            <w:vAlign w:val="bottom"/>
            <w:hideMark/>
          </w:tcPr>
          <w:p w14:paraId="717C2560" w14:textId="77777777" w:rsidR="00E04ABD" w:rsidRPr="00721B07" w:rsidRDefault="00E04ABD" w:rsidP="00B0051B">
            <w:pPr>
              <w:jc w:val="right"/>
              <w:rPr>
                <w:rFonts w:ascii="Arial" w:hAnsi="Arial" w:cs="Arial"/>
                <w:color w:val="000000"/>
              </w:rPr>
            </w:pPr>
            <w:r w:rsidRPr="00721B07">
              <w:rPr>
                <w:rFonts w:ascii="Arial" w:hAnsi="Arial" w:cs="Arial"/>
                <w:color w:val="000000"/>
              </w:rPr>
              <w:t>0.004</w:t>
            </w:r>
          </w:p>
        </w:tc>
      </w:tr>
      <w:tr w:rsidR="00E04ABD" w:rsidRPr="00721B07" w14:paraId="1A995F1A"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F11F0F2" w14:textId="77777777" w:rsidR="00E04ABD" w:rsidRPr="00721B07" w:rsidRDefault="00E04ABD" w:rsidP="00B0051B">
            <w:pPr>
              <w:rPr>
                <w:rFonts w:ascii="Arial" w:hAnsi="Arial" w:cs="Arial"/>
                <w:color w:val="000000"/>
              </w:rPr>
            </w:pPr>
            <w:r w:rsidRPr="00721B07">
              <w:rPr>
                <w:rFonts w:ascii="Arial" w:hAnsi="Arial" w:cs="Arial"/>
                <w:color w:val="000000"/>
              </w:rPr>
              <w:t>Interaction: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4E555C10" w14:textId="77777777" w:rsidR="00E04ABD" w:rsidRPr="00721B07" w:rsidRDefault="00E04ABD" w:rsidP="00B0051B">
            <w:pPr>
              <w:jc w:val="right"/>
              <w:rPr>
                <w:rFonts w:ascii="Arial" w:hAnsi="Arial" w:cs="Arial"/>
                <w:color w:val="000000"/>
              </w:rPr>
            </w:pPr>
            <w:r w:rsidRPr="00721B07">
              <w:rPr>
                <w:rFonts w:ascii="Arial" w:hAnsi="Arial" w:cs="Arial"/>
                <w:color w:val="000000"/>
              </w:rPr>
              <w:t>-0.118</w:t>
            </w:r>
          </w:p>
        </w:tc>
        <w:tc>
          <w:tcPr>
            <w:tcW w:w="1240" w:type="dxa"/>
            <w:tcBorders>
              <w:top w:val="nil"/>
              <w:left w:val="nil"/>
              <w:bottom w:val="single" w:sz="4" w:space="0" w:color="auto"/>
              <w:right w:val="single" w:sz="4" w:space="0" w:color="auto"/>
            </w:tcBorders>
            <w:shd w:val="clear" w:color="auto" w:fill="auto"/>
            <w:noWrap/>
            <w:vAlign w:val="bottom"/>
            <w:hideMark/>
          </w:tcPr>
          <w:p w14:paraId="3BB9BE16" w14:textId="77777777" w:rsidR="00E04ABD" w:rsidRPr="00721B07" w:rsidRDefault="00E04ABD" w:rsidP="00B0051B">
            <w:pPr>
              <w:jc w:val="right"/>
              <w:rPr>
                <w:rFonts w:ascii="Arial" w:hAnsi="Arial" w:cs="Arial"/>
                <w:color w:val="000000"/>
              </w:rPr>
            </w:pPr>
            <w:r w:rsidRPr="00721B07">
              <w:rPr>
                <w:rFonts w:ascii="Arial" w:hAnsi="Arial" w:cs="Arial"/>
                <w:color w:val="000000"/>
              </w:rPr>
              <w:t>0.187</w:t>
            </w:r>
          </w:p>
        </w:tc>
        <w:tc>
          <w:tcPr>
            <w:tcW w:w="1240" w:type="dxa"/>
            <w:tcBorders>
              <w:top w:val="nil"/>
              <w:left w:val="nil"/>
              <w:bottom w:val="single" w:sz="4" w:space="0" w:color="auto"/>
              <w:right w:val="single" w:sz="4" w:space="0" w:color="auto"/>
            </w:tcBorders>
            <w:shd w:val="clear" w:color="auto" w:fill="auto"/>
            <w:noWrap/>
            <w:vAlign w:val="bottom"/>
            <w:hideMark/>
          </w:tcPr>
          <w:p w14:paraId="5FBE1786" w14:textId="77777777" w:rsidR="00E04ABD" w:rsidRPr="00721B07" w:rsidRDefault="00E04ABD" w:rsidP="00B0051B">
            <w:pPr>
              <w:jc w:val="right"/>
              <w:rPr>
                <w:rFonts w:ascii="Arial" w:hAnsi="Arial" w:cs="Arial"/>
                <w:color w:val="000000"/>
              </w:rPr>
            </w:pPr>
            <w:r w:rsidRPr="00721B07">
              <w:rPr>
                <w:rFonts w:ascii="Arial" w:hAnsi="Arial" w:cs="Arial"/>
                <w:color w:val="000000"/>
              </w:rPr>
              <w:t>0.529</w:t>
            </w:r>
          </w:p>
        </w:tc>
      </w:tr>
      <w:tr w:rsidR="00E04ABD" w:rsidRPr="00721B07" w14:paraId="3FB3F630"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8E21FBF" w14:textId="77777777" w:rsidR="00E04ABD" w:rsidRPr="00721B07" w:rsidRDefault="00E04ABD" w:rsidP="00B0051B">
            <w:pPr>
              <w:rPr>
                <w:rFonts w:ascii="Arial" w:hAnsi="Arial" w:cs="Arial"/>
                <w:color w:val="000000"/>
              </w:rPr>
            </w:pPr>
            <w:r w:rsidRPr="00721B07">
              <w:rPr>
                <w:rFonts w:ascii="Arial" w:hAnsi="Arial" w:cs="Arial"/>
                <w:color w:val="000000"/>
              </w:rPr>
              <w:t>Interaction: Other orthopedic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5E897CF" w14:textId="77777777" w:rsidR="00E04ABD" w:rsidRPr="00721B07" w:rsidRDefault="00E04ABD" w:rsidP="00B0051B">
            <w:pPr>
              <w:jc w:val="right"/>
              <w:rPr>
                <w:rFonts w:ascii="Arial" w:hAnsi="Arial" w:cs="Arial"/>
                <w:color w:val="000000"/>
              </w:rPr>
            </w:pPr>
            <w:r w:rsidRPr="00721B07">
              <w:rPr>
                <w:rFonts w:ascii="Arial" w:hAnsi="Arial" w:cs="Arial"/>
                <w:color w:val="000000"/>
              </w:rPr>
              <w:t>0.247</w:t>
            </w:r>
          </w:p>
        </w:tc>
        <w:tc>
          <w:tcPr>
            <w:tcW w:w="1240" w:type="dxa"/>
            <w:tcBorders>
              <w:top w:val="nil"/>
              <w:left w:val="nil"/>
              <w:bottom w:val="single" w:sz="4" w:space="0" w:color="auto"/>
              <w:right w:val="single" w:sz="4" w:space="0" w:color="auto"/>
            </w:tcBorders>
            <w:shd w:val="clear" w:color="auto" w:fill="auto"/>
            <w:noWrap/>
            <w:vAlign w:val="bottom"/>
            <w:hideMark/>
          </w:tcPr>
          <w:p w14:paraId="2714CD99" w14:textId="77777777" w:rsidR="00E04ABD" w:rsidRPr="00721B07" w:rsidRDefault="00E04ABD" w:rsidP="00B0051B">
            <w:pPr>
              <w:jc w:val="right"/>
              <w:rPr>
                <w:rFonts w:ascii="Arial" w:hAnsi="Arial" w:cs="Arial"/>
                <w:color w:val="000000"/>
              </w:rPr>
            </w:pPr>
            <w:r w:rsidRPr="00721B07">
              <w:rPr>
                <w:rFonts w:ascii="Arial" w:hAnsi="Arial" w:cs="Arial"/>
                <w:color w:val="000000"/>
              </w:rPr>
              <w:t>0.104</w:t>
            </w:r>
          </w:p>
        </w:tc>
        <w:tc>
          <w:tcPr>
            <w:tcW w:w="1240" w:type="dxa"/>
            <w:tcBorders>
              <w:top w:val="nil"/>
              <w:left w:val="nil"/>
              <w:bottom w:val="single" w:sz="4" w:space="0" w:color="auto"/>
              <w:right w:val="single" w:sz="4" w:space="0" w:color="auto"/>
            </w:tcBorders>
            <w:shd w:val="clear" w:color="auto" w:fill="auto"/>
            <w:noWrap/>
            <w:vAlign w:val="bottom"/>
            <w:hideMark/>
          </w:tcPr>
          <w:p w14:paraId="6420218C" w14:textId="77777777" w:rsidR="00E04ABD" w:rsidRPr="00721B07" w:rsidRDefault="00E04ABD" w:rsidP="00B0051B">
            <w:pPr>
              <w:jc w:val="right"/>
              <w:rPr>
                <w:rFonts w:ascii="Arial" w:hAnsi="Arial" w:cs="Arial"/>
                <w:color w:val="000000"/>
              </w:rPr>
            </w:pPr>
            <w:r w:rsidRPr="00721B07">
              <w:rPr>
                <w:rFonts w:ascii="Arial" w:hAnsi="Arial" w:cs="Arial"/>
                <w:color w:val="000000"/>
              </w:rPr>
              <w:t>0.017</w:t>
            </w:r>
          </w:p>
        </w:tc>
      </w:tr>
      <w:tr w:rsidR="00E04ABD" w:rsidRPr="00721B07" w14:paraId="1A07D32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5F872B7" w14:textId="77777777" w:rsidR="00E04ABD" w:rsidRPr="00721B07" w:rsidRDefault="00E04ABD" w:rsidP="00B0051B">
            <w:pPr>
              <w:rPr>
                <w:rFonts w:ascii="Arial" w:hAnsi="Arial" w:cs="Arial"/>
                <w:color w:val="000000"/>
              </w:rPr>
            </w:pPr>
            <w:r w:rsidRPr="00721B07">
              <w:rPr>
                <w:rFonts w:ascii="Arial" w:hAnsi="Arial" w:cs="Arial"/>
                <w:color w:val="000000"/>
              </w:rPr>
              <w:t>Interaction: Debility, cardiorespiratory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5755CA2B" w14:textId="77777777" w:rsidR="00E04ABD" w:rsidRPr="00721B07" w:rsidRDefault="00E04ABD" w:rsidP="00B0051B">
            <w:pPr>
              <w:jc w:val="right"/>
              <w:rPr>
                <w:rFonts w:ascii="Arial" w:hAnsi="Arial" w:cs="Arial"/>
                <w:color w:val="000000"/>
              </w:rPr>
            </w:pPr>
            <w:r w:rsidRPr="00721B07">
              <w:rPr>
                <w:rFonts w:ascii="Arial" w:hAnsi="Arial" w:cs="Arial"/>
                <w:color w:val="000000"/>
              </w:rPr>
              <w:t>0.199</w:t>
            </w:r>
          </w:p>
        </w:tc>
        <w:tc>
          <w:tcPr>
            <w:tcW w:w="1240" w:type="dxa"/>
            <w:tcBorders>
              <w:top w:val="nil"/>
              <w:left w:val="nil"/>
              <w:bottom w:val="single" w:sz="4" w:space="0" w:color="auto"/>
              <w:right w:val="single" w:sz="4" w:space="0" w:color="auto"/>
            </w:tcBorders>
            <w:shd w:val="clear" w:color="auto" w:fill="auto"/>
            <w:noWrap/>
            <w:vAlign w:val="bottom"/>
            <w:hideMark/>
          </w:tcPr>
          <w:p w14:paraId="1139BED9" w14:textId="77777777" w:rsidR="00E04ABD" w:rsidRPr="00721B07" w:rsidRDefault="00E04ABD" w:rsidP="00B0051B">
            <w:pPr>
              <w:jc w:val="right"/>
              <w:rPr>
                <w:rFonts w:ascii="Arial" w:hAnsi="Arial" w:cs="Arial"/>
                <w:color w:val="000000"/>
              </w:rPr>
            </w:pPr>
            <w:r w:rsidRPr="00721B07">
              <w:rPr>
                <w:rFonts w:ascii="Arial" w:hAnsi="Arial" w:cs="Arial"/>
                <w:color w:val="000000"/>
              </w:rPr>
              <w:t>0.062</w:t>
            </w:r>
          </w:p>
        </w:tc>
        <w:tc>
          <w:tcPr>
            <w:tcW w:w="1240" w:type="dxa"/>
            <w:tcBorders>
              <w:top w:val="nil"/>
              <w:left w:val="nil"/>
              <w:bottom w:val="single" w:sz="4" w:space="0" w:color="auto"/>
              <w:right w:val="single" w:sz="4" w:space="0" w:color="auto"/>
            </w:tcBorders>
            <w:shd w:val="clear" w:color="auto" w:fill="auto"/>
            <w:noWrap/>
            <w:vAlign w:val="bottom"/>
            <w:hideMark/>
          </w:tcPr>
          <w:p w14:paraId="6F5B3B88"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3E085F9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93C7E06" w14:textId="77777777" w:rsidR="00E04ABD" w:rsidRPr="00721B07" w:rsidRDefault="00E04ABD" w:rsidP="00B0051B">
            <w:pPr>
              <w:rPr>
                <w:rFonts w:ascii="Arial" w:hAnsi="Arial" w:cs="Arial"/>
                <w:color w:val="000000"/>
              </w:rPr>
            </w:pPr>
            <w:r w:rsidRPr="00721B07">
              <w:rPr>
                <w:rFonts w:ascii="Arial" w:hAnsi="Arial" w:cs="Arial"/>
                <w:color w:val="000000"/>
              </w:rPr>
              <w:t>Interaction: Medically complex conditions</w:t>
            </w:r>
          </w:p>
        </w:tc>
        <w:tc>
          <w:tcPr>
            <w:tcW w:w="1457" w:type="dxa"/>
            <w:tcBorders>
              <w:top w:val="nil"/>
              <w:left w:val="nil"/>
              <w:bottom w:val="single" w:sz="4" w:space="0" w:color="auto"/>
              <w:right w:val="single" w:sz="4" w:space="0" w:color="auto"/>
            </w:tcBorders>
            <w:shd w:val="clear" w:color="auto" w:fill="auto"/>
            <w:noWrap/>
            <w:vAlign w:val="bottom"/>
            <w:hideMark/>
          </w:tcPr>
          <w:p w14:paraId="60BB7382" w14:textId="77777777" w:rsidR="00E04ABD" w:rsidRPr="00721B07" w:rsidRDefault="00E04ABD" w:rsidP="00B0051B">
            <w:pPr>
              <w:jc w:val="right"/>
              <w:rPr>
                <w:rFonts w:ascii="Arial" w:hAnsi="Arial" w:cs="Arial"/>
                <w:color w:val="000000"/>
              </w:rPr>
            </w:pPr>
            <w:r w:rsidRPr="00721B07">
              <w:rPr>
                <w:rFonts w:ascii="Arial" w:hAnsi="Arial" w:cs="Arial"/>
                <w:color w:val="000000"/>
              </w:rPr>
              <w:t>0.203</w:t>
            </w:r>
          </w:p>
        </w:tc>
        <w:tc>
          <w:tcPr>
            <w:tcW w:w="1240" w:type="dxa"/>
            <w:tcBorders>
              <w:top w:val="nil"/>
              <w:left w:val="nil"/>
              <w:bottom w:val="single" w:sz="4" w:space="0" w:color="auto"/>
              <w:right w:val="single" w:sz="4" w:space="0" w:color="auto"/>
            </w:tcBorders>
            <w:shd w:val="clear" w:color="auto" w:fill="auto"/>
            <w:noWrap/>
            <w:vAlign w:val="bottom"/>
            <w:hideMark/>
          </w:tcPr>
          <w:p w14:paraId="124B3F6F" w14:textId="77777777" w:rsidR="00E04ABD" w:rsidRPr="00721B07" w:rsidRDefault="00E04ABD" w:rsidP="00B0051B">
            <w:pPr>
              <w:jc w:val="right"/>
              <w:rPr>
                <w:rFonts w:ascii="Arial" w:hAnsi="Arial" w:cs="Arial"/>
                <w:color w:val="000000"/>
              </w:rPr>
            </w:pPr>
            <w:r w:rsidRPr="00721B07">
              <w:rPr>
                <w:rFonts w:ascii="Arial" w:hAnsi="Arial" w:cs="Arial"/>
                <w:color w:val="000000"/>
              </w:rPr>
              <w:t>0.052</w:t>
            </w:r>
          </w:p>
        </w:tc>
        <w:tc>
          <w:tcPr>
            <w:tcW w:w="1240" w:type="dxa"/>
            <w:tcBorders>
              <w:top w:val="nil"/>
              <w:left w:val="nil"/>
              <w:bottom w:val="single" w:sz="4" w:space="0" w:color="auto"/>
              <w:right w:val="single" w:sz="4" w:space="0" w:color="auto"/>
            </w:tcBorders>
            <w:shd w:val="clear" w:color="auto" w:fill="auto"/>
            <w:noWrap/>
            <w:vAlign w:val="bottom"/>
            <w:hideMark/>
          </w:tcPr>
          <w:p w14:paraId="6BCD4CCE"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4CA64E0"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248EFB6" w14:textId="77777777" w:rsidR="00E04ABD" w:rsidRPr="00721B07" w:rsidRDefault="00E04ABD" w:rsidP="00B0051B">
            <w:pPr>
              <w:rPr>
                <w:rFonts w:ascii="Arial" w:hAnsi="Arial" w:cs="Arial"/>
                <w:color w:val="000000"/>
              </w:rPr>
            </w:pPr>
            <w:r w:rsidRPr="00721B07">
              <w:rPr>
                <w:rFonts w:ascii="Arial" w:hAnsi="Arial" w:cs="Arial"/>
                <w:color w:val="000000"/>
              </w:rPr>
              <w:t>Prior surgery</w:t>
            </w:r>
          </w:p>
        </w:tc>
        <w:tc>
          <w:tcPr>
            <w:tcW w:w="1457" w:type="dxa"/>
            <w:tcBorders>
              <w:top w:val="nil"/>
              <w:left w:val="nil"/>
              <w:bottom w:val="single" w:sz="4" w:space="0" w:color="auto"/>
              <w:right w:val="single" w:sz="4" w:space="0" w:color="auto"/>
            </w:tcBorders>
            <w:shd w:val="clear" w:color="auto" w:fill="auto"/>
            <w:noWrap/>
            <w:vAlign w:val="bottom"/>
            <w:hideMark/>
          </w:tcPr>
          <w:p w14:paraId="2321059E" w14:textId="77777777" w:rsidR="00E04ABD" w:rsidRPr="00721B07" w:rsidRDefault="00E04ABD" w:rsidP="00B0051B">
            <w:pPr>
              <w:jc w:val="right"/>
              <w:rPr>
                <w:rFonts w:ascii="Arial" w:hAnsi="Arial" w:cs="Arial"/>
                <w:color w:val="000000"/>
              </w:rPr>
            </w:pPr>
            <w:r w:rsidRPr="00721B07">
              <w:rPr>
                <w:rFonts w:ascii="Arial" w:hAnsi="Arial" w:cs="Arial"/>
                <w:color w:val="000000"/>
              </w:rPr>
              <w:t>3.352</w:t>
            </w:r>
          </w:p>
        </w:tc>
        <w:tc>
          <w:tcPr>
            <w:tcW w:w="1240" w:type="dxa"/>
            <w:tcBorders>
              <w:top w:val="nil"/>
              <w:left w:val="nil"/>
              <w:bottom w:val="single" w:sz="4" w:space="0" w:color="auto"/>
              <w:right w:val="single" w:sz="4" w:space="0" w:color="auto"/>
            </w:tcBorders>
            <w:shd w:val="clear" w:color="auto" w:fill="auto"/>
            <w:noWrap/>
            <w:vAlign w:val="bottom"/>
            <w:hideMark/>
          </w:tcPr>
          <w:p w14:paraId="44E13279" w14:textId="77777777" w:rsidR="00E04ABD" w:rsidRPr="00721B07" w:rsidRDefault="00E04ABD" w:rsidP="00B0051B">
            <w:pPr>
              <w:jc w:val="right"/>
              <w:rPr>
                <w:rFonts w:ascii="Arial" w:hAnsi="Arial" w:cs="Arial"/>
                <w:color w:val="000000"/>
              </w:rPr>
            </w:pPr>
            <w:r w:rsidRPr="00721B07">
              <w:rPr>
                <w:rFonts w:ascii="Arial" w:hAnsi="Arial" w:cs="Arial"/>
                <w:color w:val="000000"/>
              </w:rPr>
              <w:t>0.512</w:t>
            </w:r>
          </w:p>
        </w:tc>
        <w:tc>
          <w:tcPr>
            <w:tcW w:w="1240" w:type="dxa"/>
            <w:tcBorders>
              <w:top w:val="nil"/>
              <w:left w:val="nil"/>
              <w:bottom w:val="single" w:sz="4" w:space="0" w:color="auto"/>
              <w:right w:val="single" w:sz="4" w:space="0" w:color="auto"/>
            </w:tcBorders>
            <w:shd w:val="clear" w:color="auto" w:fill="auto"/>
            <w:noWrap/>
            <w:vAlign w:val="bottom"/>
            <w:hideMark/>
          </w:tcPr>
          <w:p w14:paraId="0E5A2F04"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74ACC2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38CB699" w14:textId="77777777" w:rsidR="00E04ABD" w:rsidRPr="00721B07" w:rsidRDefault="00E04ABD" w:rsidP="00B0051B">
            <w:pPr>
              <w:rPr>
                <w:rFonts w:ascii="Arial" w:hAnsi="Arial" w:cs="Arial"/>
                <w:color w:val="000000"/>
              </w:rPr>
            </w:pPr>
            <w:r w:rsidRPr="00721B07">
              <w:rPr>
                <w:rFonts w:ascii="Arial" w:hAnsi="Arial" w:cs="Arial"/>
                <w:color w:val="000000"/>
              </w:rPr>
              <w:t>Prior indoor ambulation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5845E186" w14:textId="77777777" w:rsidR="00E04ABD" w:rsidRPr="00721B07" w:rsidRDefault="00E04ABD" w:rsidP="00B0051B">
            <w:pPr>
              <w:jc w:val="right"/>
              <w:rPr>
                <w:rFonts w:ascii="Arial" w:hAnsi="Arial" w:cs="Arial"/>
                <w:color w:val="000000"/>
              </w:rPr>
            </w:pPr>
            <w:r w:rsidRPr="00721B07">
              <w:rPr>
                <w:rFonts w:ascii="Arial" w:hAnsi="Arial" w:cs="Arial"/>
                <w:color w:val="000000"/>
              </w:rPr>
              <w:t>-2.584</w:t>
            </w:r>
          </w:p>
        </w:tc>
        <w:tc>
          <w:tcPr>
            <w:tcW w:w="1240" w:type="dxa"/>
            <w:tcBorders>
              <w:top w:val="nil"/>
              <w:left w:val="nil"/>
              <w:bottom w:val="single" w:sz="4" w:space="0" w:color="auto"/>
              <w:right w:val="single" w:sz="4" w:space="0" w:color="auto"/>
            </w:tcBorders>
            <w:shd w:val="clear" w:color="auto" w:fill="auto"/>
            <w:noWrap/>
            <w:vAlign w:val="bottom"/>
            <w:hideMark/>
          </w:tcPr>
          <w:p w14:paraId="0BE9B8A2" w14:textId="77777777" w:rsidR="00E04ABD" w:rsidRPr="00721B07" w:rsidRDefault="00E04ABD" w:rsidP="00B0051B">
            <w:pPr>
              <w:jc w:val="right"/>
              <w:rPr>
                <w:rFonts w:ascii="Arial" w:hAnsi="Arial" w:cs="Arial"/>
                <w:color w:val="000000"/>
              </w:rPr>
            </w:pPr>
            <w:r w:rsidRPr="00721B07">
              <w:rPr>
                <w:rFonts w:ascii="Arial" w:hAnsi="Arial" w:cs="Arial"/>
                <w:color w:val="000000"/>
              </w:rPr>
              <w:t>1.136</w:t>
            </w:r>
          </w:p>
        </w:tc>
        <w:tc>
          <w:tcPr>
            <w:tcW w:w="1240" w:type="dxa"/>
            <w:tcBorders>
              <w:top w:val="nil"/>
              <w:left w:val="nil"/>
              <w:bottom w:val="single" w:sz="4" w:space="0" w:color="auto"/>
              <w:right w:val="single" w:sz="4" w:space="0" w:color="auto"/>
            </w:tcBorders>
            <w:shd w:val="clear" w:color="auto" w:fill="auto"/>
            <w:noWrap/>
            <w:vAlign w:val="bottom"/>
            <w:hideMark/>
          </w:tcPr>
          <w:p w14:paraId="205CE85C" w14:textId="77777777" w:rsidR="00E04ABD" w:rsidRPr="00721B07" w:rsidRDefault="00E04ABD" w:rsidP="00B0051B">
            <w:pPr>
              <w:jc w:val="right"/>
              <w:rPr>
                <w:rFonts w:ascii="Arial" w:hAnsi="Arial" w:cs="Arial"/>
                <w:color w:val="000000"/>
              </w:rPr>
            </w:pPr>
            <w:r w:rsidRPr="00721B07">
              <w:rPr>
                <w:rFonts w:ascii="Arial" w:hAnsi="Arial" w:cs="Arial"/>
                <w:color w:val="000000"/>
              </w:rPr>
              <w:t>0.023</w:t>
            </w:r>
          </w:p>
        </w:tc>
      </w:tr>
      <w:tr w:rsidR="00E04ABD" w:rsidRPr="00721B07" w14:paraId="2BCD53A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B8750AE" w14:textId="77777777" w:rsidR="00E04ABD" w:rsidRPr="00721B07" w:rsidRDefault="00E04ABD" w:rsidP="00B0051B">
            <w:pPr>
              <w:rPr>
                <w:rFonts w:ascii="Arial" w:hAnsi="Arial" w:cs="Arial"/>
                <w:color w:val="000000"/>
              </w:rPr>
            </w:pPr>
            <w:r w:rsidRPr="00721B07">
              <w:rPr>
                <w:rFonts w:ascii="Arial" w:hAnsi="Arial" w:cs="Arial"/>
                <w:color w:val="000000"/>
              </w:rPr>
              <w:t>Prior indoor ambulation - Some help</w:t>
            </w:r>
          </w:p>
        </w:tc>
        <w:tc>
          <w:tcPr>
            <w:tcW w:w="1457" w:type="dxa"/>
            <w:tcBorders>
              <w:top w:val="nil"/>
              <w:left w:val="nil"/>
              <w:bottom w:val="single" w:sz="4" w:space="0" w:color="auto"/>
              <w:right w:val="single" w:sz="4" w:space="0" w:color="auto"/>
            </w:tcBorders>
            <w:shd w:val="clear" w:color="auto" w:fill="auto"/>
            <w:noWrap/>
            <w:vAlign w:val="bottom"/>
            <w:hideMark/>
          </w:tcPr>
          <w:p w14:paraId="112F12DB" w14:textId="77777777" w:rsidR="00E04ABD" w:rsidRPr="00721B07" w:rsidRDefault="00E04ABD" w:rsidP="00B0051B">
            <w:pPr>
              <w:jc w:val="right"/>
              <w:rPr>
                <w:rFonts w:ascii="Arial" w:hAnsi="Arial" w:cs="Arial"/>
                <w:color w:val="000000"/>
              </w:rPr>
            </w:pPr>
            <w:r w:rsidRPr="00721B07">
              <w:rPr>
                <w:rFonts w:ascii="Arial" w:hAnsi="Arial" w:cs="Arial"/>
                <w:color w:val="000000"/>
              </w:rPr>
              <w:t>-3.021</w:t>
            </w:r>
          </w:p>
        </w:tc>
        <w:tc>
          <w:tcPr>
            <w:tcW w:w="1240" w:type="dxa"/>
            <w:tcBorders>
              <w:top w:val="nil"/>
              <w:left w:val="nil"/>
              <w:bottom w:val="single" w:sz="4" w:space="0" w:color="auto"/>
              <w:right w:val="single" w:sz="4" w:space="0" w:color="auto"/>
            </w:tcBorders>
            <w:shd w:val="clear" w:color="auto" w:fill="auto"/>
            <w:noWrap/>
            <w:vAlign w:val="bottom"/>
            <w:hideMark/>
          </w:tcPr>
          <w:p w14:paraId="55F327E9" w14:textId="77777777" w:rsidR="00E04ABD" w:rsidRPr="00721B07" w:rsidRDefault="00E04ABD" w:rsidP="00B0051B">
            <w:pPr>
              <w:jc w:val="right"/>
              <w:rPr>
                <w:rFonts w:ascii="Arial" w:hAnsi="Arial" w:cs="Arial"/>
                <w:color w:val="000000"/>
              </w:rPr>
            </w:pPr>
            <w:r w:rsidRPr="00721B07">
              <w:rPr>
                <w:rFonts w:ascii="Arial" w:hAnsi="Arial" w:cs="Arial"/>
                <w:color w:val="000000"/>
              </w:rPr>
              <w:t>0.556</w:t>
            </w:r>
          </w:p>
        </w:tc>
        <w:tc>
          <w:tcPr>
            <w:tcW w:w="1240" w:type="dxa"/>
            <w:tcBorders>
              <w:top w:val="nil"/>
              <w:left w:val="nil"/>
              <w:bottom w:val="single" w:sz="4" w:space="0" w:color="auto"/>
              <w:right w:val="single" w:sz="4" w:space="0" w:color="auto"/>
            </w:tcBorders>
            <w:shd w:val="clear" w:color="auto" w:fill="auto"/>
            <w:noWrap/>
            <w:vAlign w:val="bottom"/>
            <w:hideMark/>
          </w:tcPr>
          <w:p w14:paraId="6C4EF301"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CFC29DB"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F0E922A" w14:textId="77777777" w:rsidR="00E04ABD" w:rsidRPr="00721B07" w:rsidRDefault="00E04ABD" w:rsidP="00B0051B">
            <w:pPr>
              <w:rPr>
                <w:rFonts w:ascii="Arial" w:hAnsi="Arial" w:cs="Arial"/>
                <w:color w:val="000000"/>
              </w:rPr>
            </w:pPr>
            <w:r w:rsidRPr="00721B07">
              <w:rPr>
                <w:rFonts w:ascii="Arial" w:hAnsi="Arial" w:cs="Arial"/>
                <w:color w:val="000000"/>
              </w:rPr>
              <w:t>Prior stair negotiation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6D0A626C" w14:textId="77777777" w:rsidR="00E04ABD" w:rsidRPr="00721B07" w:rsidRDefault="00E04ABD" w:rsidP="00B0051B">
            <w:pPr>
              <w:jc w:val="right"/>
              <w:rPr>
                <w:rFonts w:ascii="Arial" w:hAnsi="Arial" w:cs="Arial"/>
                <w:color w:val="000000"/>
              </w:rPr>
            </w:pPr>
            <w:r w:rsidRPr="00721B07">
              <w:rPr>
                <w:rFonts w:ascii="Arial" w:hAnsi="Arial" w:cs="Arial"/>
                <w:color w:val="000000"/>
              </w:rPr>
              <w:t>-0.992</w:t>
            </w:r>
          </w:p>
        </w:tc>
        <w:tc>
          <w:tcPr>
            <w:tcW w:w="1240" w:type="dxa"/>
            <w:tcBorders>
              <w:top w:val="nil"/>
              <w:left w:val="nil"/>
              <w:bottom w:val="single" w:sz="4" w:space="0" w:color="auto"/>
              <w:right w:val="single" w:sz="4" w:space="0" w:color="auto"/>
            </w:tcBorders>
            <w:shd w:val="clear" w:color="auto" w:fill="auto"/>
            <w:noWrap/>
            <w:vAlign w:val="bottom"/>
            <w:hideMark/>
          </w:tcPr>
          <w:p w14:paraId="426EAB2A" w14:textId="77777777" w:rsidR="00E04ABD" w:rsidRPr="00721B07" w:rsidRDefault="00E04ABD" w:rsidP="00B0051B">
            <w:pPr>
              <w:jc w:val="right"/>
              <w:rPr>
                <w:rFonts w:ascii="Arial" w:hAnsi="Arial" w:cs="Arial"/>
                <w:color w:val="000000"/>
              </w:rPr>
            </w:pPr>
            <w:r w:rsidRPr="00721B07">
              <w:rPr>
                <w:rFonts w:ascii="Arial" w:hAnsi="Arial" w:cs="Arial"/>
                <w:color w:val="000000"/>
              </w:rPr>
              <w:t>0.930</w:t>
            </w:r>
          </w:p>
        </w:tc>
        <w:tc>
          <w:tcPr>
            <w:tcW w:w="1240" w:type="dxa"/>
            <w:tcBorders>
              <w:top w:val="nil"/>
              <w:left w:val="nil"/>
              <w:bottom w:val="single" w:sz="4" w:space="0" w:color="auto"/>
              <w:right w:val="single" w:sz="4" w:space="0" w:color="auto"/>
            </w:tcBorders>
            <w:shd w:val="clear" w:color="auto" w:fill="auto"/>
            <w:noWrap/>
            <w:vAlign w:val="bottom"/>
            <w:hideMark/>
          </w:tcPr>
          <w:p w14:paraId="2AA953AF" w14:textId="77777777" w:rsidR="00E04ABD" w:rsidRPr="00721B07" w:rsidRDefault="00E04ABD" w:rsidP="00B0051B">
            <w:pPr>
              <w:jc w:val="right"/>
              <w:rPr>
                <w:rFonts w:ascii="Arial" w:hAnsi="Arial" w:cs="Arial"/>
                <w:color w:val="000000"/>
              </w:rPr>
            </w:pPr>
            <w:r w:rsidRPr="00721B07">
              <w:rPr>
                <w:rFonts w:ascii="Arial" w:hAnsi="Arial" w:cs="Arial"/>
                <w:color w:val="000000"/>
              </w:rPr>
              <w:t>0.286</w:t>
            </w:r>
          </w:p>
        </w:tc>
      </w:tr>
      <w:tr w:rsidR="00E04ABD" w:rsidRPr="00721B07" w14:paraId="2B881ED1"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0DE82C3" w14:textId="77777777" w:rsidR="00E04ABD" w:rsidRPr="00721B07" w:rsidRDefault="00E04ABD" w:rsidP="00B0051B">
            <w:pPr>
              <w:rPr>
                <w:rFonts w:ascii="Arial" w:hAnsi="Arial" w:cs="Arial"/>
                <w:color w:val="000000"/>
              </w:rPr>
            </w:pPr>
            <w:r w:rsidRPr="00721B07">
              <w:rPr>
                <w:rFonts w:ascii="Arial" w:hAnsi="Arial" w:cs="Arial"/>
                <w:color w:val="000000"/>
              </w:rPr>
              <w:t>Prior stair negotiation - Some help</w:t>
            </w:r>
          </w:p>
        </w:tc>
        <w:tc>
          <w:tcPr>
            <w:tcW w:w="1457" w:type="dxa"/>
            <w:tcBorders>
              <w:top w:val="nil"/>
              <w:left w:val="nil"/>
              <w:bottom w:val="single" w:sz="4" w:space="0" w:color="auto"/>
              <w:right w:val="single" w:sz="4" w:space="0" w:color="auto"/>
            </w:tcBorders>
            <w:shd w:val="clear" w:color="auto" w:fill="auto"/>
            <w:noWrap/>
            <w:vAlign w:val="bottom"/>
            <w:hideMark/>
          </w:tcPr>
          <w:p w14:paraId="634B4243" w14:textId="77777777" w:rsidR="00E04ABD" w:rsidRPr="00721B07" w:rsidRDefault="00E04ABD" w:rsidP="00B0051B">
            <w:pPr>
              <w:jc w:val="right"/>
              <w:rPr>
                <w:rFonts w:ascii="Arial" w:hAnsi="Arial" w:cs="Arial"/>
                <w:color w:val="000000"/>
              </w:rPr>
            </w:pPr>
            <w:r w:rsidRPr="00721B07">
              <w:rPr>
                <w:rFonts w:ascii="Arial" w:hAnsi="Arial" w:cs="Arial"/>
                <w:color w:val="000000"/>
              </w:rPr>
              <w:t>-0.247</w:t>
            </w:r>
          </w:p>
        </w:tc>
        <w:tc>
          <w:tcPr>
            <w:tcW w:w="1240" w:type="dxa"/>
            <w:tcBorders>
              <w:top w:val="nil"/>
              <w:left w:val="nil"/>
              <w:bottom w:val="single" w:sz="4" w:space="0" w:color="auto"/>
              <w:right w:val="single" w:sz="4" w:space="0" w:color="auto"/>
            </w:tcBorders>
            <w:shd w:val="clear" w:color="auto" w:fill="auto"/>
            <w:noWrap/>
            <w:vAlign w:val="bottom"/>
            <w:hideMark/>
          </w:tcPr>
          <w:p w14:paraId="5939F2DC" w14:textId="77777777" w:rsidR="00E04ABD" w:rsidRPr="00721B07" w:rsidRDefault="00E04ABD" w:rsidP="00B0051B">
            <w:pPr>
              <w:jc w:val="right"/>
              <w:rPr>
                <w:rFonts w:ascii="Arial" w:hAnsi="Arial" w:cs="Arial"/>
                <w:color w:val="000000"/>
              </w:rPr>
            </w:pPr>
            <w:r w:rsidRPr="00721B07">
              <w:rPr>
                <w:rFonts w:ascii="Arial" w:hAnsi="Arial" w:cs="Arial"/>
                <w:color w:val="000000"/>
              </w:rPr>
              <w:t>0.543</w:t>
            </w:r>
          </w:p>
        </w:tc>
        <w:tc>
          <w:tcPr>
            <w:tcW w:w="1240" w:type="dxa"/>
            <w:tcBorders>
              <w:top w:val="nil"/>
              <w:left w:val="nil"/>
              <w:bottom w:val="single" w:sz="4" w:space="0" w:color="auto"/>
              <w:right w:val="single" w:sz="4" w:space="0" w:color="auto"/>
            </w:tcBorders>
            <w:shd w:val="clear" w:color="auto" w:fill="auto"/>
            <w:noWrap/>
            <w:vAlign w:val="bottom"/>
            <w:hideMark/>
          </w:tcPr>
          <w:p w14:paraId="1F26B8B1" w14:textId="77777777" w:rsidR="00E04ABD" w:rsidRPr="00721B07" w:rsidRDefault="00E04ABD" w:rsidP="00B0051B">
            <w:pPr>
              <w:jc w:val="right"/>
              <w:rPr>
                <w:rFonts w:ascii="Arial" w:hAnsi="Arial" w:cs="Arial"/>
                <w:color w:val="000000"/>
              </w:rPr>
            </w:pPr>
            <w:r w:rsidRPr="00721B07">
              <w:rPr>
                <w:rFonts w:ascii="Arial" w:hAnsi="Arial" w:cs="Arial"/>
                <w:color w:val="000000"/>
              </w:rPr>
              <w:t>0.649</w:t>
            </w:r>
          </w:p>
        </w:tc>
      </w:tr>
      <w:tr w:rsidR="00E04ABD" w:rsidRPr="00721B07" w14:paraId="692607F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012FA77" w14:textId="77777777" w:rsidR="00E04ABD" w:rsidRPr="00721B07" w:rsidRDefault="00E04ABD" w:rsidP="00B0051B">
            <w:pPr>
              <w:rPr>
                <w:rFonts w:ascii="Arial" w:hAnsi="Arial" w:cs="Arial"/>
                <w:color w:val="000000"/>
              </w:rPr>
            </w:pPr>
            <w:r w:rsidRPr="00721B07">
              <w:rPr>
                <w:rFonts w:ascii="Arial" w:hAnsi="Arial" w:cs="Arial"/>
                <w:color w:val="000000"/>
              </w:rPr>
              <w:t>Prior cognition - Dependent</w:t>
            </w:r>
          </w:p>
        </w:tc>
        <w:tc>
          <w:tcPr>
            <w:tcW w:w="1457" w:type="dxa"/>
            <w:tcBorders>
              <w:top w:val="nil"/>
              <w:left w:val="nil"/>
              <w:bottom w:val="single" w:sz="4" w:space="0" w:color="auto"/>
              <w:right w:val="single" w:sz="4" w:space="0" w:color="auto"/>
            </w:tcBorders>
            <w:shd w:val="clear" w:color="auto" w:fill="auto"/>
            <w:noWrap/>
            <w:vAlign w:val="bottom"/>
            <w:hideMark/>
          </w:tcPr>
          <w:p w14:paraId="131F6619" w14:textId="77777777" w:rsidR="00E04ABD" w:rsidRPr="00721B07" w:rsidRDefault="00E04ABD" w:rsidP="00B0051B">
            <w:pPr>
              <w:jc w:val="right"/>
              <w:rPr>
                <w:rFonts w:ascii="Arial" w:hAnsi="Arial" w:cs="Arial"/>
                <w:color w:val="000000"/>
              </w:rPr>
            </w:pPr>
            <w:r w:rsidRPr="00721B07">
              <w:rPr>
                <w:rFonts w:ascii="Arial" w:hAnsi="Arial" w:cs="Arial"/>
                <w:color w:val="000000"/>
              </w:rPr>
              <w:t>-0.400</w:t>
            </w:r>
          </w:p>
        </w:tc>
        <w:tc>
          <w:tcPr>
            <w:tcW w:w="1240" w:type="dxa"/>
            <w:tcBorders>
              <w:top w:val="nil"/>
              <w:left w:val="nil"/>
              <w:bottom w:val="single" w:sz="4" w:space="0" w:color="auto"/>
              <w:right w:val="single" w:sz="4" w:space="0" w:color="auto"/>
            </w:tcBorders>
            <w:shd w:val="clear" w:color="auto" w:fill="auto"/>
            <w:noWrap/>
            <w:vAlign w:val="bottom"/>
            <w:hideMark/>
          </w:tcPr>
          <w:p w14:paraId="369C8FC5" w14:textId="77777777" w:rsidR="00E04ABD" w:rsidRPr="00721B07" w:rsidRDefault="00E04ABD" w:rsidP="00B0051B">
            <w:pPr>
              <w:jc w:val="right"/>
              <w:rPr>
                <w:rFonts w:ascii="Arial" w:hAnsi="Arial" w:cs="Arial"/>
                <w:color w:val="000000"/>
              </w:rPr>
            </w:pPr>
            <w:r w:rsidRPr="00721B07">
              <w:rPr>
                <w:rFonts w:ascii="Arial" w:hAnsi="Arial" w:cs="Arial"/>
                <w:color w:val="000000"/>
              </w:rPr>
              <w:t>0.893</w:t>
            </w:r>
          </w:p>
        </w:tc>
        <w:tc>
          <w:tcPr>
            <w:tcW w:w="1240" w:type="dxa"/>
            <w:tcBorders>
              <w:top w:val="nil"/>
              <w:left w:val="nil"/>
              <w:bottom w:val="single" w:sz="4" w:space="0" w:color="auto"/>
              <w:right w:val="single" w:sz="4" w:space="0" w:color="auto"/>
            </w:tcBorders>
            <w:shd w:val="clear" w:color="auto" w:fill="auto"/>
            <w:noWrap/>
            <w:vAlign w:val="bottom"/>
            <w:hideMark/>
          </w:tcPr>
          <w:p w14:paraId="2F44455F" w14:textId="77777777" w:rsidR="00E04ABD" w:rsidRPr="00721B07" w:rsidRDefault="00E04ABD" w:rsidP="00B0051B">
            <w:pPr>
              <w:jc w:val="right"/>
              <w:rPr>
                <w:rFonts w:ascii="Arial" w:hAnsi="Arial" w:cs="Arial"/>
                <w:color w:val="000000"/>
              </w:rPr>
            </w:pPr>
            <w:r w:rsidRPr="00721B07">
              <w:rPr>
                <w:rFonts w:ascii="Arial" w:hAnsi="Arial" w:cs="Arial"/>
                <w:color w:val="000000"/>
              </w:rPr>
              <w:t>0.654</w:t>
            </w:r>
          </w:p>
        </w:tc>
      </w:tr>
      <w:tr w:rsidR="00E04ABD" w:rsidRPr="00721B07" w14:paraId="30EDCD75"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30C0F8D" w14:textId="77777777" w:rsidR="00E04ABD" w:rsidRPr="00721B07" w:rsidRDefault="00E04ABD" w:rsidP="00B0051B">
            <w:pPr>
              <w:rPr>
                <w:rFonts w:ascii="Arial" w:hAnsi="Arial" w:cs="Arial"/>
                <w:color w:val="000000"/>
              </w:rPr>
            </w:pPr>
            <w:r w:rsidRPr="00721B07">
              <w:rPr>
                <w:rFonts w:ascii="Arial" w:hAnsi="Arial" w:cs="Arial"/>
                <w:color w:val="000000"/>
              </w:rPr>
              <w:t>Walker</w:t>
            </w:r>
          </w:p>
        </w:tc>
        <w:tc>
          <w:tcPr>
            <w:tcW w:w="1457" w:type="dxa"/>
            <w:tcBorders>
              <w:top w:val="nil"/>
              <w:left w:val="nil"/>
              <w:bottom w:val="single" w:sz="4" w:space="0" w:color="auto"/>
              <w:right w:val="single" w:sz="4" w:space="0" w:color="auto"/>
            </w:tcBorders>
            <w:shd w:val="clear" w:color="auto" w:fill="auto"/>
            <w:noWrap/>
            <w:vAlign w:val="bottom"/>
            <w:hideMark/>
          </w:tcPr>
          <w:p w14:paraId="30BD945A" w14:textId="77777777" w:rsidR="00E04ABD" w:rsidRPr="00721B07" w:rsidRDefault="00E04ABD" w:rsidP="00B0051B">
            <w:pPr>
              <w:jc w:val="right"/>
              <w:rPr>
                <w:rFonts w:ascii="Arial" w:hAnsi="Arial" w:cs="Arial"/>
                <w:color w:val="000000"/>
              </w:rPr>
            </w:pPr>
            <w:r w:rsidRPr="00721B07">
              <w:rPr>
                <w:rFonts w:ascii="Arial" w:hAnsi="Arial" w:cs="Arial"/>
                <w:color w:val="000000"/>
              </w:rPr>
              <w:t>-1.270</w:t>
            </w:r>
          </w:p>
        </w:tc>
        <w:tc>
          <w:tcPr>
            <w:tcW w:w="1240" w:type="dxa"/>
            <w:tcBorders>
              <w:top w:val="nil"/>
              <w:left w:val="nil"/>
              <w:bottom w:val="single" w:sz="4" w:space="0" w:color="auto"/>
              <w:right w:val="single" w:sz="4" w:space="0" w:color="auto"/>
            </w:tcBorders>
            <w:shd w:val="clear" w:color="auto" w:fill="auto"/>
            <w:noWrap/>
            <w:vAlign w:val="bottom"/>
            <w:hideMark/>
          </w:tcPr>
          <w:p w14:paraId="73F10B8C" w14:textId="77777777" w:rsidR="00E04ABD" w:rsidRPr="00721B07" w:rsidRDefault="00E04ABD" w:rsidP="00B0051B">
            <w:pPr>
              <w:jc w:val="right"/>
              <w:rPr>
                <w:rFonts w:ascii="Arial" w:hAnsi="Arial" w:cs="Arial"/>
                <w:color w:val="000000"/>
              </w:rPr>
            </w:pPr>
            <w:r w:rsidRPr="00721B07">
              <w:rPr>
                <w:rFonts w:ascii="Arial" w:hAnsi="Arial" w:cs="Arial"/>
                <w:color w:val="000000"/>
              </w:rPr>
              <w:t>0.437</w:t>
            </w:r>
          </w:p>
        </w:tc>
        <w:tc>
          <w:tcPr>
            <w:tcW w:w="1240" w:type="dxa"/>
            <w:tcBorders>
              <w:top w:val="nil"/>
              <w:left w:val="nil"/>
              <w:bottom w:val="single" w:sz="4" w:space="0" w:color="auto"/>
              <w:right w:val="single" w:sz="4" w:space="0" w:color="auto"/>
            </w:tcBorders>
            <w:shd w:val="clear" w:color="auto" w:fill="auto"/>
            <w:noWrap/>
            <w:vAlign w:val="bottom"/>
            <w:hideMark/>
          </w:tcPr>
          <w:p w14:paraId="0154E550" w14:textId="77777777" w:rsidR="00E04ABD" w:rsidRPr="00721B07" w:rsidRDefault="00E04ABD" w:rsidP="00B0051B">
            <w:pPr>
              <w:jc w:val="right"/>
              <w:rPr>
                <w:rFonts w:ascii="Arial" w:hAnsi="Arial" w:cs="Arial"/>
                <w:color w:val="000000"/>
              </w:rPr>
            </w:pPr>
            <w:r w:rsidRPr="00721B07">
              <w:rPr>
                <w:rFonts w:ascii="Arial" w:hAnsi="Arial" w:cs="Arial"/>
                <w:color w:val="000000"/>
              </w:rPr>
              <w:t>0.004</w:t>
            </w:r>
          </w:p>
        </w:tc>
      </w:tr>
      <w:tr w:rsidR="00E04ABD" w:rsidRPr="00721B07" w14:paraId="2035B60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DEFDF77" w14:textId="77777777" w:rsidR="00E04ABD" w:rsidRPr="00721B07" w:rsidRDefault="00E04ABD" w:rsidP="00B0051B">
            <w:pPr>
              <w:rPr>
                <w:rFonts w:ascii="Arial" w:hAnsi="Arial" w:cs="Arial"/>
                <w:color w:val="000000"/>
              </w:rPr>
            </w:pPr>
            <w:r w:rsidRPr="00721B07">
              <w:rPr>
                <w:rFonts w:ascii="Arial" w:hAnsi="Arial" w:cs="Arial"/>
                <w:color w:val="000000"/>
              </w:rPr>
              <w:t>Wheelchair/scooter full time/part time</w:t>
            </w:r>
          </w:p>
        </w:tc>
        <w:tc>
          <w:tcPr>
            <w:tcW w:w="1457" w:type="dxa"/>
            <w:tcBorders>
              <w:top w:val="nil"/>
              <w:left w:val="nil"/>
              <w:bottom w:val="single" w:sz="4" w:space="0" w:color="auto"/>
              <w:right w:val="single" w:sz="4" w:space="0" w:color="auto"/>
            </w:tcBorders>
            <w:shd w:val="clear" w:color="auto" w:fill="auto"/>
            <w:noWrap/>
            <w:vAlign w:val="bottom"/>
            <w:hideMark/>
          </w:tcPr>
          <w:p w14:paraId="665CB507" w14:textId="77777777" w:rsidR="00E04ABD" w:rsidRPr="00721B07" w:rsidRDefault="00E04ABD" w:rsidP="00B0051B">
            <w:pPr>
              <w:jc w:val="right"/>
              <w:rPr>
                <w:rFonts w:ascii="Arial" w:hAnsi="Arial" w:cs="Arial"/>
                <w:color w:val="000000"/>
              </w:rPr>
            </w:pPr>
            <w:r w:rsidRPr="00721B07">
              <w:rPr>
                <w:rFonts w:ascii="Arial" w:hAnsi="Arial" w:cs="Arial"/>
                <w:color w:val="000000"/>
              </w:rPr>
              <w:t>-5.244</w:t>
            </w:r>
          </w:p>
        </w:tc>
        <w:tc>
          <w:tcPr>
            <w:tcW w:w="1240" w:type="dxa"/>
            <w:tcBorders>
              <w:top w:val="nil"/>
              <w:left w:val="nil"/>
              <w:bottom w:val="single" w:sz="4" w:space="0" w:color="auto"/>
              <w:right w:val="single" w:sz="4" w:space="0" w:color="auto"/>
            </w:tcBorders>
            <w:shd w:val="clear" w:color="auto" w:fill="auto"/>
            <w:noWrap/>
            <w:vAlign w:val="bottom"/>
            <w:hideMark/>
          </w:tcPr>
          <w:p w14:paraId="0D99B91B" w14:textId="77777777" w:rsidR="00E04ABD" w:rsidRPr="00721B07" w:rsidRDefault="00E04ABD" w:rsidP="00B0051B">
            <w:pPr>
              <w:jc w:val="right"/>
              <w:rPr>
                <w:rFonts w:ascii="Arial" w:hAnsi="Arial" w:cs="Arial"/>
                <w:color w:val="000000"/>
              </w:rPr>
            </w:pPr>
            <w:r w:rsidRPr="00721B07">
              <w:rPr>
                <w:rFonts w:ascii="Arial" w:hAnsi="Arial" w:cs="Arial"/>
                <w:color w:val="000000"/>
              </w:rPr>
              <w:t>0.709</w:t>
            </w:r>
          </w:p>
        </w:tc>
        <w:tc>
          <w:tcPr>
            <w:tcW w:w="1240" w:type="dxa"/>
            <w:tcBorders>
              <w:top w:val="nil"/>
              <w:left w:val="nil"/>
              <w:bottom w:val="single" w:sz="4" w:space="0" w:color="auto"/>
              <w:right w:val="single" w:sz="4" w:space="0" w:color="auto"/>
            </w:tcBorders>
            <w:shd w:val="clear" w:color="auto" w:fill="auto"/>
            <w:noWrap/>
            <w:vAlign w:val="bottom"/>
            <w:hideMark/>
          </w:tcPr>
          <w:p w14:paraId="5D5EFDA6"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1FA306AF"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794F386" w14:textId="77777777" w:rsidR="00E04ABD" w:rsidRPr="00721B07" w:rsidRDefault="00E04ABD" w:rsidP="00B0051B">
            <w:pPr>
              <w:rPr>
                <w:rFonts w:ascii="Arial" w:hAnsi="Arial" w:cs="Arial"/>
                <w:color w:val="000000"/>
              </w:rPr>
            </w:pPr>
            <w:r w:rsidRPr="00721B07">
              <w:rPr>
                <w:rFonts w:ascii="Arial" w:hAnsi="Arial" w:cs="Arial"/>
                <w:color w:val="000000"/>
              </w:rPr>
              <w:t>Mechanical lift</w:t>
            </w:r>
          </w:p>
        </w:tc>
        <w:tc>
          <w:tcPr>
            <w:tcW w:w="1457" w:type="dxa"/>
            <w:tcBorders>
              <w:top w:val="nil"/>
              <w:left w:val="nil"/>
              <w:bottom w:val="single" w:sz="4" w:space="0" w:color="auto"/>
              <w:right w:val="single" w:sz="4" w:space="0" w:color="auto"/>
            </w:tcBorders>
            <w:shd w:val="clear" w:color="auto" w:fill="auto"/>
            <w:noWrap/>
            <w:vAlign w:val="bottom"/>
            <w:hideMark/>
          </w:tcPr>
          <w:p w14:paraId="384F325F" w14:textId="77777777" w:rsidR="00E04ABD" w:rsidRPr="00721B07" w:rsidRDefault="00E04ABD" w:rsidP="00B0051B">
            <w:pPr>
              <w:jc w:val="right"/>
              <w:rPr>
                <w:rFonts w:ascii="Arial" w:hAnsi="Arial" w:cs="Arial"/>
                <w:color w:val="000000"/>
              </w:rPr>
            </w:pPr>
            <w:r w:rsidRPr="00721B07">
              <w:rPr>
                <w:rFonts w:ascii="Arial" w:hAnsi="Arial" w:cs="Arial"/>
                <w:color w:val="000000"/>
              </w:rPr>
              <w:t>-6.824</w:t>
            </w:r>
          </w:p>
        </w:tc>
        <w:tc>
          <w:tcPr>
            <w:tcW w:w="1240" w:type="dxa"/>
            <w:tcBorders>
              <w:top w:val="nil"/>
              <w:left w:val="nil"/>
              <w:bottom w:val="single" w:sz="4" w:space="0" w:color="auto"/>
              <w:right w:val="single" w:sz="4" w:space="0" w:color="auto"/>
            </w:tcBorders>
            <w:shd w:val="clear" w:color="auto" w:fill="auto"/>
            <w:noWrap/>
            <w:vAlign w:val="bottom"/>
            <w:hideMark/>
          </w:tcPr>
          <w:p w14:paraId="514C466B" w14:textId="77777777" w:rsidR="00E04ABD" w:rsidRPr="00721B07" w:rsidRDefault="00E04ABD" w:rsidP="00B0051B">
            <w:pPr>
              <w:jc w:val="right"/>
              <w:rPr>
                <w:rFonts w:ascii="Arial" w:hAnsi="Arial" w:cs="Arial"/>
                <w:color w:val="000000"/>
              </w:rPr>
            </w:pPr>
            <w:r w:rsidRPr="00721B07">
              <w:rPr>
                <w:rFonts w:ascii="Arial" w:hAnsi="Arial" w:cs="Arial"/>
                <w:color w:val="000000"/>
              </w:rPr>
              <w:t>1.635</w:t>
            </w:r>
          </w:p>
        </w:tc>
        <w:tc>
          <w:tcPr>
            <w:tcW w:w="1240" w:type="dxa"/>
            <w:tcBorders>
              <w:top w:val="nil"/>
              <w:left w:val="nil"/>
              <w:bottom w:val="single" w:sz="4" w:space="0" w:color="auto"/>
              <w:right w:val="single" w:sz="4" w:space="0" w:color="auto"/>
            </w:tcBorders>
            <w:shd w:val="clear" w:color="auto" w:fill="auto"/>
            <w:noWrap/>
            <w:vAlign w:val="bottom"/>
            <w:hideMark/>
          </w:tcPr>
          <w:p w14:paraId="763663E4"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7147803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C442DEE" w14:textId="77777777" w:rsidR="00E04ABD" w:rsidRPr="00721B07" w:rsidRDefault="00E04ABD" w:rsidP="00B0051B">
            <w:pPr>
              <w:rPr>
                <w:rFonts w:ascii="Arial" w:hAnsi="Arial" w:cs="Arial"/>
                <w:color w:val="000000"/>
              </w:rPr>
            </w:pPr>
            <w:r w:rsidRPr="00721B07">
              <w:rPr>
                <w:rFonts w:ascii="Arial" w:hAnsi="Arial" w:cs="Arial"/>
                <w:color w:val="000000"/>
              </w:rPr>
              <w:t>Orthotics/prosthetics</w:t>
            </w:r>
          </w:p>
        </w:tc>
        <w:tc>
          <w:tcPr>
            <w:tcW w:w="1457" w:type="dxa"/>
            <w:tcBorders>
              <w:top w:val="nil"/>
              <w:left w:val="nil"/>
              <w:bottom w:val="single" w:sz="4" w:space="0" w:color="auto"/>
              <w:right w:val="single" w:sz="4" w:space="0" w:color="auto"/>
            </w:tcBorders>
            <w:shd w:val="clear" w:color="auto" w:fill="auto"/>
            <w:noWrap/>
            <w:vAlign w:val="bottom"/>
            <w:hideMark/>
          </w:tcPr>
          <w:p w14:paraId="6EA2F2CD" w14:textId="77777777" w:rsidR="00E04ABD" w:rsidRPr="00721B07" w:rsidRDefault="00E04ABD" w:rsidP="00B0051B">
            <w:pPr>
              <w:jc w:val="right"/>
              <w:rPr>
                <w:rFonts w:ascii="Arial" w:hAnsi="Arial" w:cs="Arial"/>
                <w:color w:val="000000"/>
              </w:rPr>
            </w:pPr>
            <w:r w:rsidRPr="00721B07">
              <w:rPr>
                <w:rFonts w:ascii="Arial" w:hAnsi="Arial" w:cs="Arial"/>
                <w:color w:val="000000"/>
              </w:rPr>
              <w:t>0.578</w:t>
            </w:r>
          </w:p>
        </w:tc>
        <w:tc>
          <w:tcPr>
            <w:tcW w:w="1240" w:type="dxa"/>
            <w:tcBorders>
              <w:top w:val="nil"/>
              <w:left w:val="nil"/>
              <w:bottom w:val="single" w:sz="4" w:space="0" w:color="auto"/>
              <w:right w:val="single" w:sz="4" w:space="0" w:color="auto"/>
            </w:tcBorders>
            <w:shd w:val="clear" w:color="auto" w:fill="auto"/>
            <w:noWrap/>
            <w:vAlign w:val="bottom"/>
            <w:hideMark/>
          </w:tcPr>
          <w:p w14:paraId="7C499F86" w14:textId="77777777" w:rsidR="00E04ABD" w:rsidRPr="00721B07" w:rsidRDefault="00E04ABD" w:rsidP="00B0051B">
            <w:pPr>
              <w:jc w:val="right"/>
              <w:rPr>
                <w:rFonts w:ascii="Arial" w:hAnsi="Arial" w:cs="Arial"/>
                <w:color w:val="000000"/>
              </w:rPr>
            </w:pPr>
            <w:r w:rsidRPr="00721B07">
              <w:rPr>
                <w:rFonts w:ascii="Arial" w:hAnsi="Arial" w:cs="Arial"/>
                <w:color w:val="000000"/>
              </w:rPr>
              <w:t>2.212</w:t>
            </w:r>
          </w:p>
        </w:tc>
        <w:tc>
          <w:tcPr>
            <w:tcW w:w="1240" w:type="dxa"/>
            <w:tcBorders>
              <w:top w:val="nil"/>
              <w:left w:val="nil"/>
              <w:bottom w:val="single" w:sz="4" w:space="0" w:color="auto"/>
              <w:right w:val="single" w:sz="4" w:space="0" w:color="auto"/>
            </w:tcBorders>
            <w:shd w:val="clear" w:color="auto" w:fill="auto"/>
            <w:noWrap/>
            <w:vAlign w:val="bottom"/>
            <w:hideMark/>
          </w:tcPr>
          <w:p w14:paraId="2F79DE07" w14:textId="77777777" w:rsidR="00E04ABD" w:rsidRPr="00721B07" w:rsidRDefault="00E04ABD" w:rsidP="00B0051B">
            <w:pPr>
              <w:jc w:val="right"/>
              <w:rPr>
                <w:rFonts w:ascii="Arial" w:hAnsi="Arial" w:cs="Arial"/>
                <w:color w:val="000000"/>
              </w:rPr>
            </w:pPr>
            <w:r w:rsidRPr="00721B07">
              <w:rPr>
                <w:rFonts w:ascii="Arial" w:hAnsi="Arial" w:cs="Arial"/>
                <w:color w:val="000000"/>
              </w:rPr>
              <w:t>0.794</w:t>
            </w:r>
          </w:p>
        </w:tc>
      </w:tr>
      <w:tr w:rsidR="00E04ABD" w:rsidRPr="00721B07" w14:paraId="439C4CA1"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F0FB239" w14:textId="77777777" w:rsidR="00E04ABD" w:rsidRPr="00721B07" w:rsidRDefault="00E04ABD" w:rsidP="00B0051B">
            <w:pPr>
              <w:rPr>
                <w:rFonts w:ascii="Arial" w:hAnsi="Arial" w:cs="Arial"/>
                <w:color w:val="000000"/>
              </w:rPr>
            </w:pPr>
            <w:r w:rsidRPr="00721B07">
              <w:rPr>
                <w:rFonts w:ascii="Arial" w:hAnsi="Arial" w:cs="Arial"/>
                <w:color w:val="000000"/>
              </w:rPr>
              <w:t>Stage 2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78351D87" w14:textId="77777777" w:rsidR="00E04ABD" w:rsidRPr="00721B07" w:rsidRDefault="00E04ABD" w:rsidP="00B0051B">
            <w:pPr>
              <w:jc w:val="right"/>
              <w:rPr>
                <w:rFonts w:ascii="Arial" w:hAnsi="Arial" w:cs="Arial"/>
                <w:color w:val="000000"/>
              </w:rPr>
            </w:pPr>
            <w:r w:rsidRPr="00721B07">
              <w:rPr>
                <w:rFonts w:ascii="Arial" w:hAnsi="Arial" w:cs="Arial"/>
                <w:color w:val="000000"/>
              </w:rPr>
              <w:t>-0.707</w:t>
            </w:r>
          </w:p>
        </w:tc>
        <w:tc>
          <w:tcPr>
            <w:tcW w:w="1240" w:type="dxa"/>
            <w:tcBorders>
              <w:top w:val="nil"/>
              <w:left w:val="nil"/>
              <w:bottom w:val="single" w:sz="4" w:space="0" w:color="auto"/>
              <w:right w:val="single" w:sz="4" w:space="0" w:color="auto"/>
            </w:tcBorders>
            <w:shd w:val="clear" w:color="auto" w:fill="auto"/>
            <w:noWrap/>
            <w:vAlign w:val="bottom"/>
            <w:hideMark/>
          </w:tcPr>
          <w:p w14:paraId="28BAC8AB" w14:textId="77777777" w:rsidR="00E04ABD" w:rsidRPr="00721B07" w:rsidRDefault="00E04ABD" w:rsidP="00B0051B">
            <w:pPr>
              <w:jc w:val="right"/>
              <w:rPr>
                <w:rFonts w:ascii="Arial" w:hAnsi="Arial" w:cs="Arial"/>
                <w:color w:val="000000"/>
              </w:rPr>
            </w:pPr>
            <w:r w:rsidRPr="00721B07">
              <w:rPr>
                <w:rFonts w:ascii="Arial" w:hAnsi="Arial" w:cs="Arial"/>
                <w:color w:val="000000"/>
              </w:rPr>
              <w:t>0.816</w:t>
            </w:r>
          </w:p>
        </w:tc>
        <w:tc>
          <w:tcPr>
            <w:tcW w:w="1240" w:type="dxa"/>
            <w:tcBorders>
              <w:top w:val="nil"/>
              <w:left w:val="nil"/>
              <w:bottom w:val="single" w:sz="4" w:space="0" w:color="auto"/>
              <w:right w:val="single" w:sz="4" w:space="0" w:color="auto"/>
            </w:tcBorders>
            <w:shd w:val="clear" w:color="auto" w:fill="auto"/>
            <w:noWrap/>
            <w:vAlign w:val="bottom"/>
            <w:hideMark/>
          </w:tcPr>
          <w:p w14:paraId="20B10F15" w14:textId="77777777" w:rsidR="00E04ABD" w:rsidRPr="00721B07" w:rsidRDefault="00E04ABD" w:rsidP="00B0051B">
            <w:pPr>
              <w:jc w:val="right"/>
              <w:rPr>
                <w:rFonts w:ascii="Arial" w:hAnsi="Arial" w:cs="Arial"/>
                <w:color w:val="000000"/>
              </w:rPr>
            </w:pPr>
            <w:r w:rsidRPr="00721B07">
              <w:rPr>
                <w:rFonts w:ascii="Arial" w:hAnsi="Arial" w:cs="Arial"/>
                <w:color w:val="000000"/>
              </w:rPr>
              <w:t>0.386</w:t>
            </w:r>
          </w:p>
        </w:tc>
      </w:tr>
      <w:tr w:rsidR="00E04ABD" w:rsidRPr="00721B07" w14:paraId="4D18125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E349893" w14:textId="77777777" w:rsidR="00E04ABD" w:rsidRPr="00721B07" w:rsidRDefault="00E04ABD" w:rsidP="00B0051B">
            <w:pPr>
              <w:rPr>
                <w:rFonts w:ascii="Arial" w:hAnsi="Arial" w:cs="Arial"/>
                <w:color w:val="000000"/>
              </w:rPr>
            </w:pPr>
            <w:r w:rsidRPr="00721B07">
              <w:rPr>
                <w:rFonts w:ascii="Arial" w:hAnsi="Arial" w:cs="Arial"/>
                <w:color w:val="000000"/>
              </w:rPr>
              <w:t>Stage 3, 4 or unstageable pressure ulcer</w:t>
            </w:r>
          </w:p>
        </w:tc>
        <w:tc>
          <w:tcPr>
            <w:tcW w:w="1457" w:type="dxa"/>
            <w:tcBorders>
              <w:top w:val="nil"/>
              <w:left w:val="nil"/>
              <w:bottom w:val="single" w:sz="4" w:space="0" w:color="auto"/>
              <w:right w:val="single" w:sz="4" w:space="0" w:color="auto"/>
            </w:tcBorders>
            <w:shd w:val="clear" w:color="auto" w:fill="auto"/>
            <w:noWrap/>
            <w:vAlign w:val="bottom"/>
            <w:hideMark/>
          </w:tcPr>
          <w:p w14:paraId="22CE224F" w14:textId="77777777" w:rsidR="00E04ABD" w:rsidRPr="00721B07" w:rsidRDefault="00E04ABD" w:rsidP="00B0051B">
            <w:pPr>
              <w:jc w:val="right"/>
              <w:rPr>
                <w:rFonts w:ascii="Arial" w:hAnsi="Arial" w:cs="Arial"/>
                <w:color w:val="000000"/>
              </w:rPr>
            </w:pPr>
            <w:r w:rsidRPr="00721B07">
              <w:rPr>
                <w:rFonts w:ascii="Arial" w:hAnsi="Arial" w:cs="Arial"/>
                <w:color w:val="000000"/>
              </w:rPr>
              <w:t>-3.665</w:t>
            </w:r>
          </w:p>
        </w:tc>
        <w:tc>
          <w:tcPr>
            <w:tcW w:w="1240" w:type="dxa"/>
            <w:tcBorders>
              <w:top w:val="nil"/>
              <w:left w:val="nil"/>
              <w:bottom w:val="single" w:sz="4" w:space="0" w:color="auto"/>
              <w:right w:val="single" w:sz="4" w:space="0" w:color="auto"/>
            </w:tcBorders>
            <w:shd w:val="clear" w:color="auto" w:fill="auto"/>
            <w:noWrap/>
            <w:vAlign w:val="bottom"/>
            <w:hideMark/>
          </w:tcPr>
          <w:p w14:paraId="5907018C" w14:textId="77777777" w:rsidR="00E04ABD" w:rsidRPr="00721B07" w:rsidRDefault="00E04ABD" w:rsidP="00B0051B">
            <w:pPr>
              <w:jc w:val="right"/>
              <w:rPr>
                <w:rFonts w:ascii="Arial" w:hAnsi="Arial" w:cs="Arial"/>
                <w:color w:val="000000"/>
              </w:rPr>
            </w:pPr>
            <w:r w:rsidRPr="00721B07">
              <w:rPr>
                <w:rFonts w:ascii="Arial" w:hAnsi="Arial" w:cs="Arial"/>
                <w:color w:val="000000"/>
              </w:rPr>
              <w:t>1.307</w:t>
            </w:r>
          </w:p>
        </w:tc>
        <w:tc>
          <w:tcPr>
            <w:tcW w:w="1240" w:type="dxa"/>
            <w:tcBorders>
              <w:top w:val="nil"/>
              <w:left w:val="nil"/>
              <w:bottom w:val="single" w:sz="4" w:space="0" w:color="auto"/>
              <w:right w:val="single" w:sz="4" w:space="0" w:color="auto"/>
            </w:tcBorders>
            <w:shd w:val="clear" w:color="auto" w:fill="auto"/>
            <w:noWrap/>
            <w:vAlign w:val="bottom"/>
            <w:hideMark/>
          </w:tcPr>
          <w:p w14:paraId="7CD33152" w14:textId="77777777" w:rsidR="00E04ABD" w:rsidRPr="00721B07" w:rsidRDefault="00E04ABD" w:rsidP="00B0051B">
            <w:pPr>
              <w:jc w:val="right"/>
              <w:rPr>
                <w:rFonts w:ascii="Arial" w:hAnsi="Arial" w:cs="Arial"/>
                <w:color w:val="000000"/>
              </w:rPr>
            </w:pPr>
            <w:r w:rsidRPr="00721B07">
              <w:rPr>
                <w:rFonts w:ascii="Arial" w:hAnsi="Arial" w:cs="Arial"/>
                <w:color w:val="000000"/>
              </w:rPr>
              <w:t>0.005</w:t>
            </w:r>
          </w:p>
        </w:tc>
      </w:tr>
      <w:tr w:rsidR="00E04ABD" w:rsidRPr="00721B07" w14:paraId="0A0C695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F84A80A"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Moderately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0F2F5AF5" w14:textId="77777777" w:rsidR="00E04ABD" w:rsidRPr="00721B07" w:rsidRDefault="00E04ABD" w:rsidP="00B0051B">
            <w:pPr>
              <w:jc w:val="right"/>
              <w:rPr>
                <w:rFonts w:ascii="Arial" w:hAnsi="Arial" w:cs="Arial"/>
                <w:color w:val="000000"/>
              </w:rPr>
            </w:pPr>
            <w:r w:rsidRPr="00721B07">
              <w:rPr>
                <w:rFonts w:ascii="Arial" w:hAnsi="Arial" w:cs="Arial"/>
                <w:color w:val="000000"/>
              </w:rPr>
              <w:t>0.251</w:t>
            </w:r>
          </w:p>
        </w:tc>
        <w:tc>
          <w:tcPr>
            <w:tcW w:w="1240" w:type="dxa"/>
            <w:tcBorders>
              <w:top w:val="nil"/>
              <w:left w:val="nil"/>
              <w:bottom w:val="single" w:sz="4" w:space="0" w:color="auto"/>
              <w:right w:val="single" w:sz="4" w:space="0" w:color="auto"/>
            </w:tcBorders>
            <w:shd w:val="clear" w:color="auto" w:fill="auto"/>
            <w:noWrap/>
            <w:vAlign w:val="bottom"/>
            <w:hideMark/>
          </w:tcPr>
          <w:p w14:paraId="26C11BE2" w14:textId="77777777" w:rsidR="00E04ABD" w:rsidRPr="00721B07" w:rsidRDefault="00E04ABD" w:rsidP="00B0051B">
            <w:pPr>
              <w:jc w:val="right"/>
              <w:rPr>
                <w:rFonts w:ascii="Arial" w:hAnsi="Arial" w:cs="Arial"/>
                <w:color w:val="000000"/>
              </w:rPr>
            </w:pPr>
            <w:r w:rsidRPr="00721B07">
              <w:rPr>
                <w:rFonts w:ascii="Arial" w:hAnsi="Arial" w:cs="Arial"/>
                <w:color w:val="000000"/>
              </w:rPr>
              <w:t>0.469</w:t>
            </w:r>
          </w:p>
        </w:tc>
        <w:tc>
          <w:tcPr>
            <w:tcW w:w="1240" w:type="dxa"/>
            <w:tcBorders>
              <w:top w:val="nil"/>
              <w:left w:val="nil"/>
              <w:bottom w:val="single" w:sz="4" w:space="0" w:color="auto"/>
              <w:right w:val="single" w:sz="4" w:space="0" w:color="auto"/>
            </w:tcBorders>
            <w:shd w:val="clear" w:color="auto" w:fill="auto"/>
            <w:noWrap/>
            <w:vAlign w:val="bottom"/>
            <w:hideMark/>
          </w:tcPr>
          <w:p w14:paraId="59576D64" w14:textId="77777777" w:rsidR="00E04ABD" w:rsidRPr="00721B07" w:rsidRDefault="00E04ABD" w:rsidP="00B0051B">
            <w:pPr>
              <w:jc w:val="right"/>
              <w:rPr>
                <w:rFonts w:ascii="Arial" w:hAnsi="Arial" w:cs="Arial"/>
                <w:color w:val="000000"/>
              </w:rPr>
            </w:pPr>
            <w:r w:rsidRPr="00721B07">
              <w:rPr>
                <w:rFonts w:ascii="Arial" w:hAnsi="Arial" w:cs="Arial"/>
                <w:color w:val="000000"/>
              </w:rPr>
              <w:t>0.592</w:t>
            </w:r>
          </w:p>
        </w:tc>
      </w:tr>
      <w:tr w:rsidR="00E04ABD" w:rsidRPr="00721B07" w14:paraId="3794111D"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9316062" w14:textId="77777777" w:rsidR="00E04ABD" w:rsidRPr="00721B07" w:rsidRDefault="00E04ABD" w:rsidP="00B0051B">
            <w:pPr>
              <w:rPr>
                <w:rFonts w:ascii="Arial" w:hAnsi="Arial" w:cs="Arial"/>
                <w:color w:val="000000"/>
              </w:rPr>
            </w:pPr>
            <w:r w:rsidRPr="00721B07">
              <w:rPr>
                <w:rFonts w:ascii="Arial" w:hAnsi="Arial" w:cs="Arial"/>
                <w:color w:val="000000"/>
              </w:rPr>
              <w:t>Brief Interview for Mental Status score - Severely impaired</w:t>
            </w:r>
          </w:p>
        </w:tc>
        <w:tc>
          <w:tcPr>
            <w:tcW w:w="1457" w:type="dxa"/>
            <w:tcBorders>
              <w:top w:val="nil"/>
              <w:left w:val="nil"/>
              <w:bottom w:val="single" w:sz="4" w:space="0" w:color="auto"/>
              <w:right w:val="single" w:sz="4" w:space="0" w:color="auto"/>
            </w:tcBorders>
            <w:shd w:val="clear" w:color="auto" w:fill="auto"/>
            <w:noWrap/>
            <w:vAlign w:val="bottom"/>
            <w:hideMark/>
          </w:tcPr>
          <w:p w14:paraId="164B512B" w14:textId="77777777" w:rsidR="00E04ABD" w:rsidRPr="00721B07" w:rsidRDefault="00E04ABD" w:rsidP="00B0051B">
            <w:pPr>
              <w:jc w:val="right"/>
              <w:rPr>
                <w:rFonts w:ascii="Arial" w:hAnsi="Arial" w:cs="Arial"/>
                <w:color w:val="000000"/>
              </w:rPr>
            </w:pPr>
            <w:r w:rsidRPr="00721B07">
              <w:rPr>
                <w:rFonts w:ascii="Arial" w:hAnsi="Arial" w:cs="Arial"/>
                <w:color w:val="000000"/>
              </w:rPr>
              <w:t>0.086</w:t>
            </w:r>
          </w:p>
        </w:tc>
        <w:tc>
          <w:tcPr>
            <w:tcW w:w="1240" w:type="dxa"/>
            <w:tcBorders>
              <w:top w:val="nil"/>
              <w:left w:val="nil"/>
              <w:bottom w:val="single" w:sz="4" w:space="0" w:color="auto"/>
              <w:right w:val="single" w:sz="4" w:space="0" w:color="auto"/>
            </w:tcBorders>
            <w:shd w:val="clear" w:color="auto" w:fill="auto"/>
            <w:noWrap/>
            <w:vAlign w:val="bottom"/>
            <w:hideMark/>
          </w:tcPr>
          <w:p w14:paraId="62758F9F" w14:textId="77777777" w:rsidR="00E04ABD" w:rsidRPr="00721B07" w:rsidRDefault="00E04ABD" w:rsidP="00B0051B">
            <w:pPr>
              <w:jc w:val="right"/>
              <w:rPr>
                <w:rFonts w:ascii="Arial" w:hAnsi="Arial" w:cs="Arial"/>
                <w:color w:val="000000"/>
              </w:rPr>
            </w:pPr>
            <w:r w:rsidRPr="00721B07">
              <w:rPr>
                <w:rFonts w:ascii="Arial" w:hAnsi="Arial" w:cs="Arial"/>
                <w:color w:val="000000"/>
              </w:rPr>
              <w:t>0.562</w:t>
            </w:r>
          </w:p>
        </w:tc>
        <w:tc>
          <w:tcPr>
            <w:tcW w:w="1240" w:type="dxa"/>
            <w:tcBorders>
              <w:top w:val="nil"/>
              <w:left w:val="nil"/>
              <w:bottom w:val="single" w:sz="4" w:space="0" w:color="auto"/>
              <w:right w:val="single" w:sz="4" w:space="0" w:color="auto"/>
            </w:tcBorders>
            <w:shd w:val="clear" w:color="auto" w:fill="auto"/>
            <w:noWrap/>
            <w:vAlign w:val="bottom"/>
            <w:hideMark/>
          </w:tcPr>
          <w:p w14:paraId="5313BF05" w14:textId="77777777" w:rsidR="00E04ABD" w:rsidRPr="00721B07" w:rsidRDefault="00E04ABD" w:rsidP="00B0051B">
            <w:pPr>
              <w:jc w:val="right"/>
              <w:rPr>
                <w:rFonts w:ascii="Arial" w:hAnsi="Arial" w:cs="Arial"/>
                <w:color w:val="000000"/>
              </w:rPr>
            </w:pPr>
            <w:r w:rsidRPr="00721B07">
              <w:rPr>
                <w:rFonts w:ascii="Arial" w:hAnsi="Arial" w:cs="Arial"/>
                <w:color w:val="000000"/>
              </w:rPr>
              <w:t>0.879</w:t>
            </w:r>
          </w:p>
        </w:tc>
      </w:tr>
      <w:tr w:rsidR="00E04ABD" w:rsidRPr="00721B07" w14:paraId="162595FF"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6614766" w14:textId="77777777" w:rsidR="00E04ABD" w:rsidRPr="00721B07" w:rsidRDefault="00E04ABD" w:rsidP="00B0051B">
            <w:pPr>
              <w:rPr>
                <w:rFonts w:ascii="Arial" w:hAnsi="Arial" w:cs="Arial"/>
                <w:color w:val="000000"/>
              </w:rPr>
            </w:pPr>
            <w:r w:rsidRPr="00721B07">
              <w:rPr>
                <w:rFonts w:ascii="Arial" w:hAnsi="Arial" w:cs="Arial"/>
                <w:color w:val="000000"/>
              </w:rPr>
              <w:t>Communication impairment - Moderate to severe</w:t>
            </w:r>
          </w:p>
        </w:tc>
        <w:tc>
          <w:tcPr>
            <w:tcW w:w="1457" w:type="dxa"/>
            <w:tcBorders>
              <w:top w:val="nil"/>
              <w:left w:val="nil"/>
              <w:bottom w:val="single" w:sz="4" w:space="0" w:color="auto"/>
              <w:right w:val="single" w:sz="4" w:space="0" w:color="auto"/>
            </w:tcBorders>
            <w:shd w:val="clear" w:color="auto" w:fill="auto"/>
            <w:noWrap/>
            <w:vAlign w:val="bottom"/>
            <w:hideMark/>
          </w:tcPr>
          <w:p w14:paraId="1CFCE0EF" w14:textId="77777777" w:rsidR="00E04ABD" w:rsidRPr="00721B07" w:rsidRDefault="00E04ABD" w:rsidP="00B0051B">
            <w:pPr>
              <w:jc w:val="right"/>
              <w:rPr>
                <w:rFonts w:ascii="Arial" w:hAnsi="Arial" w:cs="Arial"/>
                <w:color w:val="000000"/>
              </w:rPr>
            </w:pPr>
            <w:r w:rsidRPr="00721B07">
              <w:rPr>
                <w:rFonts w:ascii="Arial" w:hAnsi="Arial" w:cs="Arial"/>
                <w:color w:val="000000"/>
              </w:rPr>
              <w:t>-3.405</w:t>
            </w:r>
          </w:p>
        </w:tc>
        <w:tc>
          <w:tcPr>
            <w:tcW w:w="1240" w:type="dxa"/>
            <w:tcBorders>
              <w:top w:val="nil"/>
              <w:left w:val="nil"/>
              <w:bottom w:val="single" w:sz="4" w:space="0" w:color="auto"/>
              <w:right w:val="single" w:sz="4" w:space="0" w:color="auto"/>
            </w:tcBorders>
            <w:shd w:val="clear" w:color="auto" w:fill="auto"/>
            <w:noWrap/>
            <w:vAlign w:val="bottom"/>
            <w:hideMark/>
          </w:tcPr>
          <w:p w14:paraId="2C4DF23D" w14:textId="77777777" w:rsidR="00E04ABD" w:rsidRPr="00721B07" w:rsidRDefault="00E04ABD" w:rsidP="00B0051B">
            <w:pPr>
              <w:jc w:val="right"/>
              <w:rPr>
                <w:rFonts w:ascii="Arial" w:hAnsi="Arial" w:cs="Arial"/>
                <w:color w:val="000000"/>
              </w:rPr>
            </w:pPr>
            <w:r w:rsidRPr="00721B07">
              <w:rPr>
                <w:rFonts w:ascii="Arial" w:hAnsi="Arial" w:cs="Arial"/>
                <w:color w:val="000000"/>
              </w:rPr>
              <w:t>0.908</w:t>
            </w:r>
          </w:p>
        </w:tc>
        <w:tc>
          <w:tcPr>
            <w:tcW w:w="1240" w:type="dxa"/>
            <w:tcBorders>
              <w:top w:val="nil"/>
              <w:left w:val="nil"/>
              <w:bottom w:val="single" w:sz="4" w:space="0" w:color="auto"/>
              <w:right w:val="single" w:sz="4" w:space="0" w:color="auto"/>
            </w:tcBorders>
            <w:shd w:val="clear" w:color="auto" w:fill="auto"/>
            <w:noWrap/>
            <w:vAlign w:val="bottom"/>
            <w:hideMark/>
          </w:tcPr>
          <w:p w14:paraId="4552D797"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0AAB4E6C"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AF81ED2" w14:textId="77777777" w:rsidR="00E04ABD" w:rsidRPr="00721B07" w:rsidRDefault="00E04ABD" w:rsidP="00B0051B">
            <w:pPr>
              <w:rPr>
                <w:rFonts w:ascii="Arial" w:hAnsi="Arial" w:cs="Arial"/>
                <w:color w:val="000000"/>
              </w:rPr>
            </w:pPr>
            <w:r w:rsidRPr="00721B07">
              <w:rPr>
                <w:rFonts w:ascii="Arial" w:hAnsi="Arial" w:cs="Arial"/>
                <w:color w:val="000000"/>
              </w:rPr>
              <w:t>Communication impairment - Mild</w:t>
            </w:r>
          </w:p>
        </w:tc>
        <w:tc>
          <w:tcPr>
            <w:tcW w:w="1457" w:type="dxa"/>
            <w:tcBorders>
              <w:top w:val="nil"/>
              <w:left w:val="nil"/>
              <w:bottom w:val="single" w:sz="4" w:space="0" w:color="auto"/>
              <w:right w:val="single" w:sz="4" w:space="0" w:color="auto"/>
            </w:tcBorders>
            <w:shd w:val="clear" w:color="auto" w:fill="auto"/>
            <w:noWrap/>
            <w:vAlign w:val="bottom"/>
            <w:hideMark/>
          </w:tcPr>
          <w:p w14:paraId="5BC32731" w14:textId="77777777" w:rsidR="00E04ABD" w:rsidRPr="00721B07" w:rsidRDefault="00E04ABD" w:rsidP="00B0051B">
            <w:pPr>
              <w:jc w:val="right"/>
              <w:rPr>
                <w:rFonts w:ascii="Arial" w:hAnsi="Arial" w:cs="Arial"/>
                <w:color w:val="000000"/>
              </w:rPr>
            </w:pPr>
            <w:r w:rsidRPr="00721B07">
              <w:rPr>
                <w:rFonts w:ascii="Arial" w:hAnsi="Arial" w:cs="Arial"/>
                <w:color w:val="000000"/>
              </w:rPr>
              <w:t>-1.583</w:t>
            </w:r>
          </w:p>
        </w:tc>
        <w:tc>
          <w:tcPr>
            <w:tcW w:w="1240" w:type="dxa"/>
            <w:tcBorders>
              <w:top w:val="nil"/>
              <w:left w:val="nil"/>
              <w:bottom w:val="single" w:sz="4" w:space="0" w:color="auto"/>
              <w:right w:val="single" w:sz="4" w:space="0" w:color="auto"/>
            </w:tcBorders>
            <w:shd w:val="clear" w:color="auto" w:fill="auto"/>
            <w:noWrap/>
            <w:vAlign w:val="bottom"/>
            <w:hideMark/>
          </w:tcPr>
          <w:p w14:paraId="68C378E3" w14:textId="77777777" w:rsidR="00E04ABD" w:rsidRPr="00721B07" w:rsidRDefault="00E04ABD" w:rsidP="00B0051B">
            <w:pPr>
              <w:jc w:val="right"/>
              <w:rPr>
                <w:rFonts w:ascii="Arial" w:hAnsi="Arial" w:cs="Arial"/>
                <w:color w:val="000000"/>
              </w:rPr>
            </w:pPr>
            <w:r w:rsidRPr="00721B07">
              <w:rPr>
                <w:rFonts w:ascii="Arial" w:hAnsi="Arial" w:cs="Arial"/>
                <w:color w:val="000000"/>
              </w:rPr>
              <w:t>0.534</w:t>
            </w:r>
          </w:p>
        </w:tc>
        <w:tc>
          <w:tcPr>
            <w:tcW w:w="1240" w:type="dxa"/>
            <w:tcBorders>
              <w:top w:val="nil"/>
              <w:left w:val="nil"/>
              <w:bottom w:val="single" w:sz="4" w:space="0" w:color="auto"/>
              <w:right w:val="single" w:sz="4" w:space="0" w:color="auto"/>
            </w:tcBorders>
            <w:shd w:val="clear" w:color="auto" w:fill="auto"/>
            <w:noWrap/>
            <w:vAlign w:val="bottom"/>
            <w:hideMark/>
          </w:tcPr>
          <w:p w14:paraId="2E01807F" w14:textId="77777777" w:rsidR="00E04ABD" w:rsidRPr="00721B07" w:rsidRDefault="00E04ABD" w:rsidP="00B0051B">
            <w:pPr>
              <w:jc w:val="right"/>
              <w:rPr>
                <w:rFonts w:ascii="Arial" w:hAnsi="Arial" w:cs="Arial"/>
                <w:color w:val="000000"/>
              </w:rPr>
            </w:pPr>
            <w:r w:rsidRPr="00721B07">
              <w:rPr>
                <w:rFonts w:ascii="Arial" w:hAnsi="Arial" w:cs="Arial"/>
                <w:color w:val="000000"/>
              </w:rPr>
              <w:t>0.003</w:t>
            </w:r>
          </w:p>
        </w:tc>
      </w:tr>
      <w:tr w:rsidR="00E04ABD" w:rsidRPr="00721B07" w14:paraId="5BA30AD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8EC473E" w14:textId="77777777" w:rsidR="00E04ABD" w:rsidRPr="00721B07" w:rsidRDefault="00E04ABD" w:rsidP="00B0051B">
            <w:pPr>
              <w:rPr>
                <w:rFonts w:ascii="Arial" w:hAnsi="Arial" w:cs="Arial"/>
                <w:color w:val="000000"/>
              </w:rPr>
            </w:pPr>
            <w:r w:rsidRPr="00721B07">
              <w:rPr>
                <w:rFonts w:ascii="Arial" w:hAnsi="Arial" w:cs="Arial"/>
                <w:color w:val="000000"/>
              </w:rPr>
              <w:t>Bladder incontinence - Less than daily, daily,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4B7616B3" w14:textId="77777777" w:rsidR="00E04ABD" w:rsidRPr="00721B07" w:rsidRDefault="00E04ABD" w:rsidP="00B0051B">
            <w:pPr>
              <w:jc w:val="right"/>
              <w:rPr>
                <w:rFonts w:ascii="Arial" w:hAnsi="Arial" w:cs="Arial"/>
                <w:color w:val="000000"/>
              </w:rPr>
            </w:pPr>
            <w:r w:rsidRPr="00721B07">
              <w:rPr>
                <w:rFonts w:ascii="Arial" w:hAnsi="Arial" w:cs="Arial"/>
                <w:color w:val="000000"/>
              </w:rPr>
              <w:t>-0.071</w:t>
            </w:r>
          </w:p>
        </w:tc>
        <w:tc>
          <w:tcPr>
            <w:tcW w:w="1240" w:type="dxa"/>
            <w:tcBorders>
              <w:top w:val="nil"/>
              <w:left w:val="nil"/>
              <w:bottom w:val="single" w:sz="4" w:space="0" w:color="auto"/>
              <w:right w:val="single" w:sz="4" w:space="0" w:color="auto"/>
            </w:tcBorders>
            <w:shd w:val="clear" w:color="auto" w:fill="auto"/>
            <w:noWrap/>
            <w:vAlign w:val="bottom"/>
            <w:hideMark/>
          </w:tcPr>
          <w:p w14:paraId="0C51B090" w14:textId="77777777" w:rsidR="00E04ABD" w:rsidRPr="00721B07" w:rsidRDefault="00E04ABD" w:rsidP="00B0051B">
            <w:pPr>
              <w:jc w:val="right"/>
              <w:rPr>
                <w:rFonts w:ascii="Arial" w:hAnsi="Arial" w:cs="Arial"/>
                <w:color w:val="000000"/>
              </w:rPr>
            </w:pPr>
            <w:r w:rsidRPr="00721B07">
              <w:rPr>
                <w:rFonts w:ascii="Arial" w:hAnsi="Arial" w:cs="Arial"/>
                <w:color w:val="000000"/>
              </w:rPr>
              <w:t>0.437</w:t>
            </w:r>
          </w:p>
        </w:tc>
        <w:tc>
          <w:tcPr>
            <w:tcW w:w="1240" w:type="dxa"/>
            <w:tcBorders>
              <w:top w:val="nil"/>
              <w:left w:val="nil"/>
              <w:bottom w:val="single" w:sz="4" w:space="0" w:color="auto"/>
              <w:right w:val="single" w:sz="4" w:space="0" w:color="auto"/>
            </w:tcBorders>
            <w:shd w:val="clear" w:color="auto" w:fill="auto"/>
            <w:noWrap/>
            <w:vAlign w:val="bottom"/>
            <w:hideMark/>
          </w:tcPr>
          <w:p w14:paraId="34EF4E7E" w14:textId="77777777" w:rsidR="00E04ABD" w:rsidRPr="00721B07" w:rsidRDefault="00E04ABD" w:rsidP="00B0051B">
            <w:pPr>
              <w:jc w:val="right"/>
              <w:rPr>
                <w:rFonts w:ascii="Arial" w:hAnsi="Arial" w:cs="Arial"/>
                <w:color w:val="000000"/>
              </w:rPr>
            </w:pPr>
            <w:r w:rsidRPr="00721B07">
              <w:rPr>
                <w:rFonts w:ascii="Arial" w:hAnsi="Arial" w:cs="Arial"/>
                <w:color w:val="000000"/>
              </w:rPr>
              <w:t>0.871</w:t>
            </w:r>
          </w:p>
        </w:tc>
      </w:tr>
      <w:tr w:rsidR="00E04ABD" w:rsidRPr="00721B07" w14:paraId="560509C6"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8E4D159" w14:textId="77777777" w:rsidR="00E04ABD" w:rsidRPr="00721B07" w:rsidRDefault="00E04ABD" w:rsidP="00B0051B">
            <w:pPr>
              <w:rPr>
                <w:rFonts w:ascii="Arial" w:hAnsi="Arial" w:cs="Arial"/>
                <w:color w:val="000000"/>
              </w:rPr>
            </w:pPr>
            <w:r w:rsidRPr="00721B07">
              <w:rPr>
                <w:rFonts w:ascii="Arial" w:hAnsi="Arial" w:cs="Arial"/>
                <w:color w:val="000000"/>
              </w:rPr>
              <w:t>Bowel incontinence - Always incontinent</w:t>
            </w:r>
          </w:p>
        </w:tc>
        <w:tc>
          <w:tcPr>
            <w:tcW w:w="1457" w:type="dxa"/>
            <w:tcBorders>
              <w:top w:val="nil"/>
              <w:left w:val="nil"/>
              <w:bottom w:val="single" w:sz="4" w:space="0" w:color="auto"/>
              <w:right w:val="single" w:sz="4" w:space="0" w:color="auto"/>
            </w:tcBorders>
            <w:shd w:val="clear" w:color="auto" w:fill="auto"/>
            <w:noWrap/>
            <w:vAlign w:val="bottom"/>
            <w:hideMark/>
          </w:tcPr>
          <w:p w14:paraId="1D400FFC" w14:textId="77777777" w:rsidR="00E04ABD" w:rsidRPr="00721B07" w:rsidRDefault="00E04ABD" w:rsidP="00B0051B">
            <w:pPr>
              <w:jc w:val="right"/>
              <w:rPr>
                <w:rFonts w:ascii="Arial" w:hAnsi="Arial" w:cs="Arial"/>
                <w:color w:val="000000"/>
              </w:rPr>
            </w:pPr>
            <w:r w:rsidRPr="00721B07">
              <w:rPr>
                <w:rFonts w:ascii="Arial" w:hAnsi="Arial" w:cs="Arial"/>
                <w:color w:val="000000"/>
              </w:rPr>
              <w:t>-6.276</w:t>
            </w:r>
          </w:p>
        </w:tc>
        <w:tc>
          <w:tcPr>
            <w:tcW w:w="1240" w:type="dxa"/>
            <w:tcBorders>
              <w:top w:val="nil"/>
              <w:left w:val="nil"/>
              <w:bottom w:val="single" w:sz="4" w:space="0" w:color="auto"/>
              <w:right w:val="single" w:sz="4" w:space="0" w:color="auto"/>
            </w:tcBorders>
            <w:shd w:val="clear" w:color="auto" w:fill="auto"/>
            <w:noWrap/>
            <w:vAlign w:val="bottom"/>
            <w:hideMark/>
          </w:tcPr>
          <w:p w14:paraId="3DB2096B" w14:textId="77777777" w:rsidR="00E04ABD" w:rsidRPr="00721B07" w:rsidRDefault="00E04ABD" w:rsidP="00B0051B">
            <w:pPr>
              <w:jc w:val="right"/>
              <w:rPr>
                <w:rFonts w:ascii="Arial" w:hAnsi="Arial" w:cs="Arial"/>
                <w:color w:val="000000"/>
              </w:rPr>
            </w:pPr>
            <w:r w:rsidRPr="00721B07">
              <w:rPr>
                <w:rFonts w:ascii="Arial" w:hAnsi="Arial" w:cs="Arial"/>
                <w:color w:val="000000"/>
              </w:rPr>
              <w:t>1.018</w:t>
            </w:r>
          </w:p>
        </w:tc>
        <w:tc>
          <w:tcPr>
            <w:tcW w:w="1240" w:type="dxa"/>
            <w:tcBorders>
              <w:top w:val="nil"/>
              <w:left w:val="nil"/>
              <w:bottom w:val="single" w:sz="4" w:space="0" w:color="auto"/>
              <w:right w:val="single" w:sz="4" w:space="0" w:color="auto"/>
            </w:tcBorders>
            <w:shd w:val="clear" w:color="auto" w:fill="auto"/>
            <w:noWrap/>
            <w:vAlign w:val="bottom"/>
            <w:hideMark/>
          </w:tcPr>
          <w:p w14:paraId="722023A9"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246840A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A54C2AE" w14:textId="77777777" w:rsidR="00E04ABD" w:rsidRPr="00721B07" w:rsidRDefault="00E04ABD" w:rsidP="00B0051B">
            <w:pPr>
              <w:rPr>
                <w:rFonts w:ascii="Arial" w:hAnsi="Arial" w:cs="Arial"/>
                <w:color w:val="000000"/>
              </w:rPr>
            </w:pPr>
            <w:r w:rsidRPr="00721B07">
              <w:rPr>
                <w:rFonts w:ascii="Arial" w:hAnsi="Arial" w:cs="Arial"/>
                <w:color w:val="000000"/>
              </w:rPr>
              <w:t>Bowel incontinence - Less than daily, daily</w:t>
            </w:r>
          </w:p>
        </w:tc>
        <w:tc>
          <w:tcPr>
            <w:tcW w:w="1457" w:type="dxa"/>
            <w:tcBorders>
              <w:top w:val="nil"/>
              <w:left w:val="nil"/>
              <w:bottom w:val="single" w:sz="4" w:space="0" w:color="auto"/>
              <w:right w:val="single" w:sz="4" w:space="0" w:color="auto"/>
            </w:tcBorders>
            <w:shd w:val="clear" w:color="auto" w:fill="auto"/>
            <w:noWrap/>
            <w:vAlign w:val="bottom"/>
            <w:hideMark/>
          </w:tcPr>
          <w:p w14:paraId="40BD4735" w14:textId="77777777" w:rsidR="00E04ABD" w:rsidRPr="00721B07" w:rsidRDefault="00E04ABD" w:rsidP="00B0051B">
            <w:pPr>
              <w:jc w:val="right"/>
              <w:rPr>
                <w:rFonts w:ascii="Arial" w:hAnsi="Arial" w:cs="Arial"/>
                <w:color w:val="000000"/>
              </w:rPr>
            </w:pPr>
            <w:r w:rsidRPr="00721B07">
              <w:rPr>
                <w:rFonts w:ascii="Arial" w:hAnsi="Arial" w:cs="Arial"/>
                <w:color w:val="000000"/>
              </w:rPr>
              <w:t>-2.222</w:t>
            </w:r>
          </w:p>
        </w:tc>
        <w:tc>
          <w:tcPr>
            <w:tcW w:w="1240" w:type="dxa"/>
            <w:tcBorders>
              <w:top w:val="nil"/>
              <w:left w:val="nil"/>
              <w:bottom w:val="single" w:sz="4" w:space="0" w:color="auto"/>
              <w:right w:val="single" w:sz="4" w:space="0" w:color="auto"/>
            </w:tcBorders>
            <w:shd w:val="clear" w:color="auto" w:fill="auto"/>
            <w:noWrap/>
            <w:vAlign w:val="bottom"/>
            <w:hideMark/>
          </w:tcPr>
          <w:p w14:paraId="3861865C" w14:textId="77777777" w:rsidR="00E04ABD" w:rsidRPr="00721B07" w:rsidRDefault="00E04ABD" w:rsidP="00B0051B">
            <w:pPr>
              <w:jc w:val="right"/>
              <w:rPr>
                <w:rFonts w:ascii="Arial" w:hAnsi="Arial" w:cs="Arial"/>
                <w:color w:val="000000"/>
              </w:rPr>
            </w:pPr>
            <w:r w:rsidRPr="00721B07">
              <w:rPr>
                <w:rFonts w:ascii="Arial" w:hAnsi="Arial" w:cs="Arial"/>
                <w:color w:val="000000"/>
              </w:rPr>
              <w:t>0.636</w:t>
            </w:r>
          </w:p>
        </w:tc>
        <w:tc>
          <w:tcPr>
            <w:tcW w:w="1240" w:type="dxa"/>
            <w:tcBorders>
              <w:top w:val="nil"/>
              <w:left w:val="nil"/>
              <w:bottom w:val="single" w:sz="4" w:space="0" w:color="auto"/>
              <w:right w:val="single" w:sz="4" w:space="0" w:color="auto"/>
            </w:tcBorders>
            <w:shd w:val="clear" w:color="auto" w:fill="auto"/>
            <w:noWrap/>
            <w:vAlign w:val="bottom"/>
            <w:hideMark/>
          </w:tcPr>
          <w:p w14:paraId="106C438D"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68670B98"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E861F7D" w14:textId="77777777" w:rsidR="00E04ABD" w:rsidRPr="00721B07" w:rsidRDefault="00E04ABD" w:rsidP="00B0051B">
            <w:pPr>
              <w:rPr>
                <w:rFonts w:ascii="Arial" w:hAnsi="Arial" w:cs="Arial"/>
                <w:color w:val="000000"/>
              </w:rPr>
            </w:pPr>
            <w:r w:rsidRPr="00721B07">
              <w:rPr>
                <w:rFonts w:ascii="Arial" w:hAnsi="Arial" w:cs="Arial"/>
                <w:color w:val="000000"/>
              </w:rPr>
              <w:t>History of fall</w:t>
            </w:r>
          </w:p>
        </w:tc>
        <w:tc>
          <w:tcPr>
            <w:tcW w:w="1457" w:type="dxa"/>
            <w:tcBorders>
              <w:top w:val="nil"/>
              <w:left w:val="nil"/>
              <w:bottom w:val="single" w:sz="4" w:space="0" w:color="auto"/>
              <w:right w:val="single" w:sz="4" w:space="0" w:color="auto"/>
            </w:tcBorders>
            <w:shd w:val="clear" w:color="auto" w:fill="auto"/>
            <w:noWrap/>
            <w:vAlign w:val="bottom"/>
            <w:hideMark/>
          </w:tcPr>
          <w:p w14:paraId="0A72D4CE" w14:textId="77777777" w:rsidR="00E04ABD" w:rsidRPr="00721B07" w:rsidRDefault="00E04ABD" w:rsidP="00B0051B">
            <w:pPr>
              <w:jc w:val="right"/>
              <w:rPr>
                <w:rFonts w:ascii="Arial" w:hAnsi="Arial" w:cs="Arial"/>
                <w:color w:val="000000"/>
              </w:rPr>
            </w:pPr>
            <w:r w:rsidRPr="00721B07">
              <w:rPr>
                <w:rFonts w:ascii="Arial" w:hAnsi="Arial" w:cs="Arial"/>
                <w:color w:val="000000"/>
              </w:rPr>
              <w:t>-1.143</w:t>
            </w:r>
          </w:p>
        </w:tc>
        <w:tc>
          <w:tcPr>
            <w:tcW w:w="1240" w:type="dxa"/>
            <w:tcBorders>
              <w:top w:val="nil"/>
              <w:left w:val="nil"/>
              <w:bottom w:val="single" w:sz="4" w:space="0" w:color="auto"/>
              <w:right w:val="single" w:sz="4" w:space="0" w:color="auto"/>
            </w:tcBorders>
            <w:shd w:val="clear" w:color="auto" w:fill="auto"/>
            <w:noWrap/>
            <w:vAlign w:val="bottom"/>
            <w:hideMark/>
          </w:tcPr>
          <w:p w14:paraId="725AA6DE" w14:textId="77777777" w:rsidR="00E04ABD" w:rsidRPr="00721B07" w:rsidRDefault="00E04ABD" w:rsidP="00B0051B">
            <w:pPr>
              <w:jc w:val="right"/>
              <w:rPr>
                <w:rFonts w:ascii="Arial" w:hAnsi="Arial" w:cs="Arial"/>
                <w:color w:val="000000"/>
              </w:rPr>
            </w:pPr>
            <w:r w:rsidRPr="00721B07">
              <w:rPr>
                <w:rFonts w:ascii="Arial" w:hAnsi="Arial" w:cs="Arial"/>
                <w:color w:val="000000"/>
              </w:rPr>
              <w:t>0.356</w:t>
            </w:r>
          </w:p>
        </w:tc>
        <w:tc>
          <w:tcPr>
            <w:tcW w:w="1240" w:type="dxa"/>
            <w:tcBorders>
              <w:top w:val="nil"/>
              <w:left w:val="nil"/>
              <w:bottom w:val="single" w:sz="4" w:space="0" w:color="auto"/>
              <w:right w:val="single" w:sz="4" w:space="0" w:color="auto"/>
            </w:tcBorders>
            <w:shd w:val="clear" w:color="auto" w:fill="auto"/>
            <w:noWrap/>
            <w:vAlign w:val="bottom"/>
            <w:hideMark/>
          </w:tcPr>
          <w:p w14:paraId="1AC09028" w14:textId="77777777" w:rsidR="00E04ABD" w:rsidRPr="00721B07" w:rsidRDefault="00E04ABD" w:rsidP="00B0051B">
            <w:pPr>
              <w:jc w:val="right"/>
              <w:rPr>
                <w:rFonts w:ascii="Arial" w:hAnsi="Arial" w:cs="Arial"/>
                <w:color w:val="000000"/>
              </w:rPr>
            </w:pPr>
            <w:r w:rsidRPr="00721B07">
              <w:rPr>
                <w:rFonts w:ascii="Arial" w:hAnsi="Arial" w:cs="Arial"/>
                <w:color w:val="000000"/>
              </w:rPr>
              <w:t>0.001</w:t>
            </w:r>
          </w:p>
        </w:tc>
      </w:tr>
      <w:tr w:rsidR="00E04ABD" w:rsidRPr="00721B07" w14:paraId="3CAFBCE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5434C7D8" w14:textId="77777777" w:rsidR="00E04ABD" w:rsidRPr="00721B07" w:rsidRDefault="00E04ABD" w:rsidP="00B0051B">
            <w:pPr>
              <w:rPr>
                <w:rFonts w:ascii="Arial" w:hAnsi="Arial" w:cs="Arial"/>
                <w:color w:val="000000"/>
              </w:rPr>
            </w:pPr>
            <w:r w:rsidRPr="00721B07">
              <w:rPr>
                <w:rFonts w:ascii="Arial" w:hAnsi="Arial" w:cs="Arial"/>
                <w:color w:val="000000"/>
              </w:rPr>
              <w:t>Tube/Parenteral Feeding</w:t>
            </w:r>
          </w:p>
        </w:tc>
        <w:tc>
          <w:tcPr>
            <w:tcW w:w="1457" w:type="dxa"/>
            <w:tcBorders>
              <w:top w:val="nil"/>
              <w:left w:val="nil"/>
              <w:bottom w:val="single" w:sz="4" w:space="0" w:color="auto"/>
              <w:right w:val="single" w:sz="4" w:space="0" w:color="auto"/>
            </w:tcBorders>
            <w:shd w:val="clear" w:color="auto" w:fill="auto"/>
            <w:noWrap/>
            <w:vAlign w:val="bottom"/>
            <w:hideMark/>
          </w:tcPr>
          <w:p w14:paraId="07E38C74" w14:textId="77777777" w:rsidR="00E04ABD" w:rsidRPr="00721B07" w:rsidRDefault="00E04ABD" w:rsidP="00B0051B">
            <w:pPr>
              <w:jc w:val="right"/>
              <w:rPr>
                <w:rFonts w:ascii="Arial" w:hAnsi="Arial" w:cs="Arial"/>
                <w:color w:val="000000"/>
              </w:rPr>
            </w:pPr>
            <w:r w:rsidRPr="00721B07">
              <w:rPr>
                <w:rFonts w:ascii="Arial" w:hAnsi="Arial" w:cs="Arial"/>
                <w:color w:val="000000"/>
              </w:rPr>
              <w:t>-2.214</w:t>
            </w:r>
          </w:p>
        </w:tc>
        <w:tc>
          <w:tcPr>
            <w:tcW w:w="1240" w:type="dxa"/>
            <w:tcBorders>
              <w:top w:val="nil"/>
              <w:left w:val="nil"/>
              <w:bottom w:val="single" w:sz="4" w:space="0" w:color="auto"/>
              <w:right w:val="single" w:sz="4" w:space="0" w:color="auto"/>
            </w:tcBorders>
            <w:shd w:val="clear" w:color="auto" w:fill="auto"/>
            <w:noWrap/>
            <w:vAlign w:val="bottom"/>
            <w:hideMark/>
          </w:tcPr>
          <w:p w14:paraId="3F8FEF98" w14:textId="77777777" w:rsidR="00E04ABD" w:rsidRPr="00721B07" w:rsidRDefault="00E04ABD" w:rsidP="00B0051B">
            <w:pPr>
              <w:jc w:val="right"/>
              <w:rPr>
                <w:rFonts w:ascii="Arial" w:hAnsi="Arial" w:cs="Arial"/>
                <w:color w:val="000000"/>
              </w:rPr>
            </w:pPr>
            <w:r w:rsidRPr="00721B07">
              <w:rPr>
                <w:rFonts w:ascii="Arial" w:hAnsi="Arial" w:cs="Arial"/>
                <w:color w:val="000000"/>
              </w:rPr>
              <w:t>1.565</w:t>
            </w:r>
          </w:p>
        </w:tc>
        <w:tc>
          <w:tcPr>
            <w:tcW w:w="1240" w:type="dxa"/>
            <w:tcBorders>
              <w:top w:val="nil"/>
              <w:left w:val="nil"/>
              <w:bottom w:val="single" w:sz="4" w:space="0" w:color="auto"/>
              <w:right w:val="single" w:sz="4" w:space="0" w:color="auto"/>
            </w:tcBorders>
            <w:shd w:val="clear" w:color="auto" w:fill="auto"/>
            <w:noWrap/>
            <w:vAlign w:val="bottom"/>
            <w:hideMark/>
          </w:tcPr>
          <w:p w14:paraId="0FE76F91" w14:textId="77777777" w:rsidR="00E04ABD" w:rsidRPr="00721B07" w:rsidRDefault="00E04ABD" w:rsidP="00B0051B">
            <w:pPr>
              <w:jc w:val="right"/>
              <w:rPr>
                <w:rFonts w:ascii="Arial" w:hAnsi="Arial" w:cs="Arial"/>
                <w:color w:val="000000"/>
              </w:rPr>
            </w:pPr>
            <w:r w:rsidRPr="00721B07">
              <w:rPr>
                <w:rFonts w:ascii="Arial" w:hAnsi="Arial" w:cs="Arial"/>
                <w:color w:val="000000"/>
              </w:rPr>
              <w:t>0.157</w:t>
            </w:r>
          </w:p>
        </w:tc>
      </w:tr>
      <w:tr w:rsidR="00E04ABD" w:rsidRPr="00721B07" w14:paraId="2EA7847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CEDEE36" w14:textId="77777777" w:rsidR="00E04ABD" w:rsidRPr="00721B07" w:rsidRDefault="00E04ABD" w:rsidP="00B0051B">
            <w:pPr>
              <w:rPr>
                <w:rFonts w:ascii="Arial" w:hAnsi="Arial" w:cs="Arial"/>
                <w:color w:val="000000"/>
              </w:rPr>
            </w:pPr>
            <w:r w:rsidRPr="00721B07">
              <w:rPr>
                <w:rFonts w:ascii="Arial" w:hAnsi="Arial" w:cs="Arial"/>
                <w:color w:val="000000"/>
              </w:rPr>
              <w:t>Comorbidity: Major infections</w:t>
            </w:r>
          </w:p>
        </w:tc>
        <w:tc>
          <w:tcPr>
            <w:tcW w:w="1457" w:type="dxa"/>
            <w:tcBorders>
              <w:top w:val="nil"/>
              <w:left w:val="nil"/>
              <w:bottom w:val="single" w:sz="4" w:space="0" w:color="auto"/>
              <w:right w:val="single" w:sz="4" w:space="0" w:color="auto"/>
            </w:tcBorders>
            <w:shd w:val="clear" w:color="auto" w:fill="auto"/>
            <w:noWrap/>
            <w:vAlign w:val="bottom"/>
            <w:hideMark/>
          </w:tcPr>
          <w:p w14:paraId="0ED86BBB" w14:textId="77777777" w:rsidR="00E04ABD" w:rsidRPr="00721B07" w:rsidRDefault="00E04ABD" w:rsidP="00B0051B">
            <w:pPr>
              <w:jc w:val="right"/>
              <w:rPr>
                <w:rFonts w:ascii="Arial" w:hAnsi="Arial" w:cs="Arial"/>
                <w:color w:val="000000"/>
              </w:rPr>
            </w:pPr>
            <w:r w:rsidRPr="00721B07">
              <w:rPr>
                <w:rFonts w:ascii="Arial" w:hAnsi="Arial" w:cs="Arial"/>
                <w:color w:val="000000"/>
              </w:rPr>
              <w:t>-0.948</w:t>
            </w:r>
          </w:p>
        </w:tc>
        <w:tc>
          <w:tcPr>
            <w:tcW w:w="1240" w:type="dxa"/>
            <w:tcBorders>
              <w:top w:val="nil"/>
              <w:left w:val="nil"/>
              <w:bottom w:val="single" w:sz="4" w:space="0" w:color="auto"/>
              <w:right w:val="single" w:sz="4" w:space="0" w:color="auto"/>
            </w:tcBorders>
            <w:shd w:val="clear" w:color="auto" w:fill="auto"/>
            <w:noWrap/>
            <w:vAlign w:val="bottom"/>
            <w:hideMark/>
          </w:tcPr>
          <w:p w14:paraId="1FA99DCE" w14:textId="77777777" w:rsidR="00E04ABD" w:rsidRPr="00721B07" w:rsidRDefault="00E04ABD" w:rsidP="00B0051B">
            <w:pPr>
              <w:jc w:val="right"/>
              <w:rPr>
                <w:rFonts w:ascii="Arial" w:hAnsi="Arial" w:cs="Arial"/>
                <w:color w:val="000000"/>
              </w:rPr>
            </w:pPr>
            <w:r w:rsidRPr="00721B07">
              <w:rPr>
                <w:rFonts w:ascii="Arial" w:hAnsi="Arial" w:cs="Arial"/>
                <w:color w:val="000000"/>
              </w:rPr>
              <w:t>0.591</w:t>
            </w:r>
          </w:p>
        </w:tc>
        <w:tc>
          <w:tcPr>
            <w:tcW w:w="1240" w:type="dxa"/>
            <w:tcBorders>
              <w:top w:val="nil"/>
              <w:left w:val="nil"/>
              <w:bottom w:val="single" w:sz="4" w:space="0" w:color="auto"/>
              <w:right w:val="single" w:sz="4" w:space="0" w:color="auto"/>
            </w:tcBorders>
            <w:shd w:val="clear" w:color="auto" w:fill="auto"/>
            <w:noWrap/>
            <w:vAlign w:val="bottom"/>
            <w:hideMark/>
          </w:tcPr>
          <w:p w14:paraId="4917BC81" w14:textId="77777777" w:rsidR="00E04ABD" w:rsidRPr="00721B07" w:rsidRDefault="00E04ABD" w:rsidP="00B0051B">
            <w:pPr>
              <w:jc w:val="right"/>
              <w:rPr>
                <w:rFonts w:ascii="Arial" w:hAnsi="Arial" w:cs="Arial"/>
                <w:color w:val="000000"/>
              </w:rPr>
            </w:pPr>
            <w:r w:rsidRPr="00721B07">
              <w:rPr>
                <w:rFonts w:ascii="Arial" w:hAnsi="Arial" w:cs="Arial"/>
                <w:color w:val="000000"/>
              </w:rPr>
              <w:t>0.109</w:t>
            </w:r>
          </w:p>
        </w:tc>
      </w:tr>
      <w:tr w:rsidR="00E04ABD" w:rsidRPr="00721B07" w14:paraId="5911215F"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B90CC3F" w14:textId="77777777" w:rsidR="00E04ABD" w:rsidRPr="00721B07" w:rsidRDefault="00E04ABD" w:rsidP="00B0051B">
            <w:pPr>
              <w:rPr>
                <w:rFonts w:ascii="Arial" w:hAnsi="Arial" w:cs="Arial"/>
                <w:color w:val="000000"/>
              </w:rPr>
            </w:pPr>
            <w:r w:rsidRPr="00721B07">
              <w:rPr>
                <w:rFonts w:ascii="Arial" w:hAnsi="Arial" w:cs="Arial"/>
                <w:color w:val="000000"/>
              </w:rPr>
              <w:t>Comorbidity: Metastatic cancer and acute leukemia</w:t>
            </w:r>
          </w:p>
        </w:tc>
        <w:tc>
          <w:tcPr>
            <w:tcW w:w="1457" w:type="dxa"/>
            <w:tcBorders>
              <w:top w:val="nil"/>
              <w:left w:val="nil"/>
              <w:bottom w:val="single" w:sz="4" w:space="0" w:color="auto"/>
              <w:right w:val="single" w:sz="4" w:space="0" w:color="auto"/>
            </w:tcBorders>
            <w:shd w:val="clear" w:color="auto" w:fill="auto"/>
            <w:noWrap/>
            <w:vAlign w:val="bottom"/>
            <w:hideMark/>
          </w:tcPr>
          <w:p w14:paraId="2CF88DFD" w14:textId="77777777" w:rsidR="00E04ABD" w:rsidRPr="00721B07" w:rsidRDefault="00E04ABD" w:rsidP="00B0051B">
            <w:pPr>
              <w:jc w:val="right"/>
              <w:rPr>
                <w:rFonts w:ascii="Arial" w:hAnsi="Arial" w:cs="Arial"/>
                <w:color w:val="000000"/>
              </w:rPr>
            </w:pPr>
            <w:r w:rsidRPr="00721B07">
              <w:rPr>
                <w:rFonts w:ascii="Arial" w:hAnsi="Arial" w:cs="Arial"/>
                <w:color w:val="000000"/>
              </w:rPr>
              <w:t>-3.258</w:t>
            </w:r>
          </w:p>
        </w:tc>
        <w:tc>
          <w:tcPr>
            <w:tcW w:w="1240" w:type="dxa"/>
            <w:tcBorders>
              <w:top w:val="nil"/>
              <w:left w:val="nil"/>
              <w:bottom w:val="single" w:sz="4" w:space="0" w:color="auto"/>
              <w:right w:val="single" w:sz="4" w:space="0" w:color="auto"/>
            </w:tcBorders>
            <w:shd w:val="clear" w:color="auto" w:fill="auto"/>
            <w:noWrap/>
            <w:vAlign w:val="bottom"/>
            <w:hideMark/>
          </w:tcPr>
          <w:p w14:paraId="566BFB8D" w14:textId="77777777" w:rsidR="00E04ABD" w:rsidRPr="00721B07" w:rsidRDefault="00E04ABD" w:rsidP="00B0051B">
            <w:pPr>
              <w:jc w:val="right"/>
              <w:rPr>
                <w:rFonts w:ascii="Arial" w:hAnsi="Arial" w:cs="Arial"/>
                <w:color w:val="000000"/>
              </w:rPr>
            </w:pPr>
            <w:r w:rsidRPr="00721B07">
              <w:rPr>
                <w:rFonts w:ascii="Arial" w:hAnsi="Arial" w:cs="Arial"/>
                <w:color w:val="000000"/>
              </w:rPr>
              <w:t>0.906</w:t>
            </w:r>
          </w:p>
        </w:tc>
        <w:tc>
          <w:tcPr>
            <w:tcW w:w="1240" w:type="dxa"/>
            <w:tcBorders>
              <w:top w:val="nil"/>
              <w:left w:val="nil"/>
              <w:bottom w:val="single" w:sz="4" w:space="0" w:color="auto"/>
              <w:right w:val="single" w:sz="4" w:space="0" w:color="auto"/>
            </w:tcBorders>
            <w:shd w:val="clear" w:color="auto" w:fill="auto"/>
            <w:noWrap/>
            <w:vAlign w:val="bottom"/>
            <w:hideMark/>
          </w:tcPr>
          <w:p w14:paraId="079E257F"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3489968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13A281C" w14:textId="77777777" w:rsidR="00E04ABD" w:rsidRPr="00721B07" w:rsidRDefault="00E04ABD" w:rsidP="00B0051B">
            <w:pPr>
              <w:rPr>
                <w:rFonts w:ascii="Arial" w:hAnsi="Arial" w:cs="Arial"/>
                <w:color w:val="000000"/>
              </w:rPr>
            </w:pPr>
            <w:r w:rsidRPr="00721B07">
              <w:rPr>
                <w:rFonts w:ascii="Arial" w:hAnsi="Arial" w:cs="Arial"/>
                <w:color w:val="000000"/>
              </w:rPr>
              <w:t>Comorbidity: Diabetes</w:t>
            </w:r>
          </w:p>
        </w:tc>
        <w:tc>
          <w:tcPr>
            <w:tcW w:w="1457" w:type="dxa"/>
            <w:tcBorders>
              <w:top w:val="nil"/>
              <w:left w:val="nil"/>
              <w:bottom w:val="single" w:sz="4" w:space="0" w:color="auto"/>
              <w:right w:val="single" w:sz="4" w:space="0" w:color="auto"/>
            </w:tcBorders>
            <w:shd w:val="clear" w:color="auto" w:fill="auto"/>
            <w:noWrap/>
            <w:vAlign w:val="bottom"/>
            <w:hideMark/>
          </w:tcPr>
          <w:p w14:paraId="2F21718C" w14:textId="77777777" w:rsidR="00E04ABD" w:rsidRPr="00721B07" w:rsidRDefault="00E04ABD" w:rsidP="00B0051B">
            <w:pPr>
              <w:jc w:val="right"/>
              <w:rPr>
                <w:rFonts w:ascii="Arial" w:hAnsi="Arial" w:cs="Arial"/>
                <w:color w:val="000000"/>
              </w:rPr>
            </w:pPr>
            <w:r w:rsidRPr="00721B07">
              <w:rPr>
                <w:rFonts w:ascii="Arial" w:hAnsi="Arial" w:cs="Arial"/>
                <w:color w:val="000000"/>
              </w:rPr>
              <w:t>-0.672</w:t>
            </w:r>
          </w:p>
        </w:tc>
        <w:tc>
          <w:tcPr>
            <w:tcW w:w="1240" w:type="dxa"/>
            <w:tcBorders>
              <w:top w:val="nil"/>
              <w:left w:val="nil"/>
              <w:bottom w:val="single" w:sz="4" w:space="0" w:color="auto"/>
              <w:right w:val="single" w:sz="4" w:space="0" w:color="auto"/>
            </w:tcBorders>
            <w:shd w:val="clear" w:color="auto" w:fill="auto"/>
            <w:noWrap/>
            <w:vAlign w:val="bottom"/>
            <w:hideMark/>
          </w:tcPr>
          <w:p w14:paraId="310DC441" w14:textId="77777777" w:rsidR="00E04ABD" w:rsidRPr="00721B07" w:rsidRDefault="00E04ABD" w:rsidP="00B0051B">
            <w:pPr>
              <w:jc w:val="right"/>
              <w:rPr>
                <w:rFonts w:ascii="Arial" w:hAnsi="Arial" w:cs="Arial"/>
                <w:color w:val="000000"/>
              </w:rPr>
            </w:pPr>
            <w:r w:rsidRPr="00721B07">
              <w:rPr>
                <w:rFonts w:ascii="Arial" w:hAnsi="Arial" w:cs="Arial"/>
                <w:color w:val="000000"/>
              </w:rPr>
              <w:t>0.396</w:t>
            </w:r>
          </w:p>
        </w:tc>
        <w:tc>
          <w:tcPr>
            <w:tcW w:w="1240" w:type="dxa"/>
            <w:tcBorders>
              <w:top w:val="nil"/>
              <w:left w:val="nil"/>
              <w:bottom w:val="single" w:sz="4" w:space="0" w:color="auto"/>
              <w:right w:val="single" w:sz="4" w:space="0" w:color="auto"/>
            </w:tcBorders>
            <w:shd w:val="clear" w:color="auto" w:fill="auto"/>
            <w:noWrap/>
            <w:vAlign w:val="bottom"/>
            <w:hideMark/>
          </w:tcPr>
          <w:p w14:paraId="782EC006" w14:textId="77777777" w:rsidR="00E04ABD" w:rsidRPr="00721B07" w:rsidRDefault="00E04ABD" w:rsidP="00B0051B">
            <w:pPr>
              <w:jc w:val="right"/>
              <w:rPr>
                <w:rFonts w:ascii="Arial" w:hAnsi="Arial" w:cs="Arial"/>
                <w:color w:val="000000"/>
              </w:rPr>
            </w:pPr>
            <w:r w:rsidRPr="00721B07">
              <w:rPr>
                <w:rFonts w:ascii="Arial" w:hAnsi="Arial" w:cs="Arial"/>
                <w:color w:val="000000"/>
              </w:rPr>
              <w:t>0.089</w:t>
            </w:r>
          </w:p>
        </w:tc>
      </w:tr>
      <w:tr w:rsidR="00E04ABD" w:rsidRPr="00721B07" w14:paraId="426B1AB4"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D60DAAA" w14:textId="77777777" w:rsidR="00E04ABD" w:rsidRPr="00721B07" w:rsidRDefault="00E04ABD" w:rsidP="00B0051B">
            <w:pPr>
              <w:rPr>
                <w:rFonts w:ascii="Arial" w:hAnsi="Arial" w:cs="Arial"/>
                <w:color w:val="000000"/>
              </w:rPr>
            </w:pPr>
            <w:r w:rsidRPr="00721B07">
              <w:rPr>
                <w:rFonts w:ascii="Arial" w:hAnsi="Arial" w:cs="Arial"/>
                <w:color w:val="000000"/>
              </w:rPr>
              <w:t>Comorbidity: Other endocrine/metabolic disorders</w:t>
            </w:r>
          </w:p>
        </w:tc>
        <w:tc>
          <w:tcPr>
            <w:tcW w:w="1457" w:type="dxa"/>
            <w:tcBorders>
              <w:top w:val="nil"/>
              <w:left w:val="nil"/>
              <w:bottom w:val="single" w:sz="4" w:space="0" w:color="auto"/>
              <w:right w:val="single" w:sz="4" w:space="0" w:color="auto"/>
            </w:tcBorders>
            <w:shd w:val="clear" w:color="auto" w:fill="auto"/>
            <w:noWrap/>
            <w:vAlign w:val="bottom"/>
            <w:hideMark/>
          </w:tcPr>
          <w:p w14:paraId="27B17DE2" w14:textId="77777777" w:rsidR="00E04ABD" w:rsidRPr="00721B07" w:rsidRDefault="00E04ABD" w:rsidP="00B0051B">
            <w:pPr>
              <w:jc w:val="right"/>
              <w:rPr>
                <w:rFonts w:ascii="Arial" w:hAnsi="Arial" w:cs="Arial"/>
                <w:color w:val="000000"/>
              </w:rPr>
            </w:pPr>
            <w:r w:rsidRPr="00721B07">
              <w:rPr>
                <w:rFonts w:ascii="Arial" w:hAnsi="Arial" w:cs="Arial"/>
                <w:color w:val="000000"/>
              </w:rPr>
              <w:t>-0.469</w:t>
            </w:r>
          </w:p>
        </w:tc>
        <w:tc>
          <w:tcPr>
            <w:tcW w:w="1240" w:type="dxa"/>
            <w:tcBorders>
              <w:top w:val="nil"/>
              <w:left w:val="nil"/>
              <w:bottom w:val="single" w:sz="4" w:space="0" w:color="auto"/>
              <w:right w:val="single" w:sz="4" w:space="0" w:color="auto"/>
            </w:tcBorders>
            <w:shd w:val="clear" w:color="auto" w:fill="auto"/>
            <w:noWrap/>
            <w:vAlign w:val="bottom"/>
            <w:hideMark/>
          </w:tcPr>
          <w:p w14:paraId="5F36FD93" w14:textId="77777777" w:rsidR="00E04ABD" w:rsidRPr="00721B07" w:rsidRDefault="00E04ABD" w:rsidP="00B0051B">
            <w:pPr>
              <w:jc w:val="right"/>
              <w:rPr>
                <w:rFonts w:ascii="Arial" w:hAnsi="Arial" w:cs="Arial"/>
                <w:color w:val="000000"/>
              </w:rPr>
            </w:pPr>
            <w:r w:rsidRPr="00721B07">
              <w:rPr>
                <w:rFonts w:ascii="Arial" w:hAnsi="Arial" w:cs="Arial"/>
                <w:color w:val="000000"/>
              </w:rPr>
              <w:t>1.327</w:t>
            </w:r>
          </w:p>
        </w:tc>
        <w:tc>
          <w:tcPr>
            <w:tcW w:w="1240" w:type="dxa"/>
            <w:tcBorders>
              <w:top w:val="nil"/>
              <w:left w:val="nil"/>
              <w:bottom w:val="single" w:sz="4" w:space="0" w:color="auto"/>
              <w:right w:val="single" w:sz="4" w:space="0" w:color="auto"/>
            </w:tcBorders>
            <w:shd w:val="clear" w:color="auto" w:fill="auto"/>
            <w:noWrap/>
            <w:vAlign w:val="bottom"/>
            <w:hideMark/>
          </w:tcPr>
          <w:p w14:paraId="5BAACC43" w14:textId="77777777" w:rsidR="00E04ABD" w:rsidRPr="00721B07" w:rsidRDefault="00E04ABD" w:rsidP="00B0051B">
            <w:pPr>
              <w:jc w:val="right"/>
              <w:rPr>
                <w:rFonts w:ascii="Arial" w:hAnsi="Arial" w:cs="Arial"/>
                <w:color w:val="000000"/>
              </w:rPr>
            </w:pPr>
            <w:r w:rsidRPr="00721B07">
              <w:rPr>
                <w:rFonts w:ascii="Arial" w:hAnsi="Arial" w:cs="Arial"/>
                <w:color w:val="000000"/>
              </w:rPr>
              <w:t>0.724</w:t>
            </w:r>
          </w:p>
        </w:tc>
      </w:tr>
      <w:tr w:rsidR="00E04ABD" w:rsidRPr="00721B07" w14:paraId="593977F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1EC489B" w14:textId="77777777" w:rsidR="00E04ABD" w:rsidRPr="00721B07" w:rsidRDefault="00E04ABD" w:rsidP="00B0051B">
            <w:pPr>
              <w:rPr>
                <w:rFonts w:ascii="Arial" w:hAnsi="Arial" w:cs="Arial"/>
                <w:color w:val="000000"/>
              </w:rPr>
            </w:pPr>
            <w:r w:rsidRPr="00721B07">
              <w:rPr>
                <w:rFonts w:ascii="Arial" w:hAnsi="Arial" w:cs="Arial"/>
                <w:color w:val="000000"/>
              </w:rPr>
              <w:t>Comorbidity: Delirium and encephalopathy</w:t>
            </w:r>
          </w:p>
        </w:tc>
        <w:tc>
          <w:tcPr>
            <w:tcW w:w="1457" w:type="dxa"/>
            <w:tcBorders>
              <w:top w:val="nil"/>
              <w:left w:val="nil"/>
              <w:bottom w:val="single" w:sz="4" w:space="0" w:color="auto"/>
              <w:right w:val="single" w:sz="4" w:space="0" w:color="auto"/>
            </w:tcBorders>
            <w:shd w:val="clear" w:color="auto" w:fill="auto"/>
            <w:noWrap/>
            <w:vAlign w:val="bottom"/>
            <w:hideMark/>
          </w:tcPr>
          <w:p w14:paraId="00AA144A" w14:textId="77777777" w:rsidR="00E04ABD" w:rsidRPr="00721B07" w:rsidRDefault="00E04ABD" w:rsidP="00B0051B">
            <w:pPr>
              <w:jc w:val="right"/>
              <w:rPr>
                <w:rFonts w:ascii="Arial" w:hAnsi="Arial" w:cs="Arial"/>
                <w:color w:val="000000"/>
              </w:rPr>
            </w:pPr>
            <w:r w:rsidRPr="00721B07">
              <w:rPr>
                <w:rFonts w:ascii="Arial" w:hAnsi="Arial" w:cs="Arial"/>
                <w:color w:val="000000"/>
              </w:rPr>
              <w:t>-2.327</w:t>
            </w:r>
          </w:p>
        </w:tc>
        <w:tc>
          <w:tcPr>
            <w:tcW w:w="1240" w:type="dxa"/>
            <w:tcBorders>
              <w:top w:val="nil"/>
              <w:left w:val="nil"/>
              <w:bottom w:val="single" w:sz="4" w:space="0" w:color="auto"/>
              <w:right w:val="single" w:sz="4" w:space="0" w:color="auto"/>
            </w:tcBorders>
            <w:shd w:val="clear" w:color="auto" w:fill="auto"/>
            <w:noWrap/>
            <w:vAlign w:val="bottom"/>
            <w:hideMark/>
          </w:tcPr>
          <w:p w14:paraId="17D91448" w14:textId="77777777" w:rsidR="00E04ABD" w:rsidRPr="00721B07" w:rsidRDefault="00E04ABD" w:rsidP="00B0051B">
            <w:pPr>
              <w:jc w:val="right"/>
              <w:rPr>
                <w:rFonts w:ascii="Arial" w:hAnsi="Arial" w:cs="Arial"/>
                <w:color w:val="000000"/>
              </w:rPr>
            </w:pPr>
            <w:r w:rsidRPr="00721B07">
              <w:rPr>
                <w:rFonts w:ascii="Arial" w:hAnsi="Arial" w:cs="Arial"/>
                <w:color w:val="000000"/>
              </w:rPr>
              <w:t>0.628</w:t>
            </w:r>
          </w:p>
        </w:tc>
        <w:tc>
          <w:tcPr>
            <w:tcW w:w="1240" w:type="dxa"/>
            <w:tcBorders>
              <w:top w:val="nil"/>
              <w:left w:val="nil"/>
              <w:bottom w:val="single" w:sz="4" w:space="0" w:color="auto"/>
              <w:right w:val="single" w:sz="4" w:space="0" w:color="auto"/>
            </w:tcBorders>
            <w:shd w:val="clear" w:color="auto" w:fill="auto"/>
            <w:noWrap/>
            <w:vAlign w:val="bottom"/>
            <w:hideMark/>
          </w:tcPr>
          <w:p w14:paraId="7DEBC6E0" w14:textId="77777777" w:rsidR="00E04ABD" w:rsidRPr="00721B07" w:rsidRDefault="00E04ABD" w:rsidP="00B0051B">
            <w:pPr>
              <w:jc w:val="right"/>
              <w:rPr>
                <w:rFonts w:ascii="Arial" w:hAnsi="Arial" w:cs="Arial"/>
                <w:color w:val="000000"/>
              </w:rPr>
            </w:pPr>
            <w:r w:rsidRPr="00721B07">
              <w:rPr>
                <w:rFonts w:ascii="Arial" w:hAnsi="Arial" w:cs="Arial"/>
                <w:color w:val="000000"/>
              </w:rPr>
              <w:t>0.000</w:t>
            </w:r>
          </w:p>
        </w:tc>
      </w:tr>
      <w:tr w:rsidR="00E04ABD" w:rsidRPr="00721B07" w14:paraId="4AA4A5B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CBC5F9B" w14:textId="77777777" w:rsidR="00E04ABD" w:rsidRPr="00721B07" w:rsidRDefault="00E04ABD" w:rsidP="00B0051B">
            <w:pPr>
              <w:rPr>
                <w:rFonts w:ascii="Arial" w:hAnsi="Arial" w:cs="Arial"/>
                <w:color w:val="000000"/>
              </w:rPr>
            </w:pPr>
            <w:r w:rsidRPr="00721B07">
              <w:rPr>
                <w:rFonts w:ascii="Arial" w:hAnsi="Arial" w:cs="Arial"/>
                <w:color w:val="000000"/>
              </w:rPr>
              <w:t>Comorbidity: Dementia</w:t>
            </w:r>
          </w:p>
        </w:tc>
        <w:tc>
          <w:tcPr>
            <w:tcW w:w="1457" w:type="dxa"/>
            <w:tcBorders>
              <w:top w:val="nil"/>
              <w:left w:val="nil"/>
              <w:bottom w:val="single" w:sz="4" w:space="0" w:color="auto"/>
              <w:right w:val="single" w:sz="4" w:space="0" w:color="auto"/>
            </w:tcBorders>
            <w:shd w:val="clear" w:color="auto" w:fill="auto"/>
            <w:noWrap/>
            <w:vAlign w:val="bottom"/>
            <w:hideMark/>
          </w:tcPr>
          <w:p w14:paraId="31AC701C" w14:textId="77777777" w:rsidR="00E04ABD" w:rsidRPr="00721B07" w:rsidRDefault="00E04ABD" w:rsidP="00B0051B">
            <w:pPr>
              <w:jc w:val="right"/>
              <w:rPr>
                <w:rFonts w:ascii="Arial" w:hAnsi="Arial" w:cs="Arial"/>
                <w:color w:val="000000"/>
              </w:rPr>
            </w:pPr>
            <w:r w:rsidRPr="00721B07">
              <w:rPr>
                <w:rFonts w:ascii="Arial" w:hAnsi="Arial" w:cs="Arial"/>
                <w:color w:val="000000"/>
              </w:rPr>
              <w:t>-8.926</w:t>
            </w:r>
          </w:p>
        </w:tc>
        <w:tc>
          <w:tcPr>
            <w:tcW w:w="1240" w:type="dxa"/>
            <w:tcBorders>
              <w:top w:val="nil"/>
              <w:left w:val="nil"/>
              <w:bottom w:val="single" w:sz="4" w:space="0" w:color="auto"/>
              <w:right w:val="single" w:sz="4" w:space="0" w:color="auto"/>
            </w:tcBorders>
            <w:shd w:val="clear" w:color="auto" w:fill="auto"/>
            <w:noWrap/>
            <w:vAlign w:val="bottom"/>
            <w:hideMark/>
          </w:tcPr>
          <w:p w14:paraId="3F55C1DB" w14:textId="77777777" w:rsidR="00E04ABD" w:rsidRPr="00721B07" w:rsidRDefault="00E04ABD" w:rsidP="00B0051B">
            <w:pPr>
              <w:jc w:val="right"/>
              <w:rPr>
                <w:rFonts w:ascii="Arial" w:hAnsi="Arial" w:cs="Arial"/>
                <w:color w:val="000000"/>
              </w:rPr>
            </w:pPr>
            <w:r w:rsidRPr="00721B07">
              <w:rPr>
                <w:rFonts w:ascii="Arial" w:hAnsi="Arial" w:cs="Arial"/>
                <w:color w:val="000000"/>
              </w:rPr>
              <w:t>3.633</w:t>
            </w:r>
          </w:p>
        </w:tc>
        <w:tc>
          <w:tcPr>
            <w:tcW w:w="1240" w:type="dxa"/>
            <w:tcBorders>
              <w:top w:val="nil"/>
              <w:left w:val="nil"/>
              <w:bottom w:val="single" w:sz="4" w:space="0" w:color="auto"/>
              <w:right w:val="single" w:sz="4" w:space="0" w:color="auto"/>
            </w:tcBorders>
            <w:shd w:val="clear" w:color="auto" w:fill="auto"/>
            <w:noWrap/>
            <w:vAlign w:val="bottom"/>
            <w:hideMark/>
          </w:tcPr>
          <w:p w14:paraId="57FAC6AC" w14:textId="77777777" w:rsidR="00E04ABD" w:rsidRPr="00721B07" w:rsidRDefault="00E04ABD" w:rsidP="00B0051B">
            <w:pPr>
              <w:jc w:val="right"/>
              <w:rPr>
                <w:rFonts w:ascii="Arial" w:hAnsi="Arial" w:cs="Arial"/>
                <w:color w:val="000000"/>
              </w:rPr>
            </w:pPr>
            <w:r w:rsidRPr="00721B07">
              <w:rPr>
                <w:rFonts w:ascii="Arial" w:hAnsi="Arial" w:cs="Arial"/>
                <w:color w:val="000000"/>
              </w:rPr>
              <w:t>0.014</w:t>
            </w:r>
          </w:p>
        </w:tc>
      </w:tr>
      <w:tr w:rsidR="00E04ABD" w:rsidRPr="00721B07" w14:paraId="5C4436A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975AF7A" w14:textId="77777777" w:rsidR="00E04ABD" w:rsidRPr="00721B07" w:rsidRDefault="00E04ABD" w:rsidP="00B0051B">
            <w:pPr>
              <w:rPr>
                <w:rFonts w:ascii="Arial" w:hAnsi="Arial" w:cs="Arial"/>
                <w:color w:val="000000"/>
              </w:rPr>
            </w:pPr>
            <w:r w:rsidRPr="00721B07">
              <w:rPr>
                <w:rFonts w:ascii="Arial" w:hAnsi="Arial" w:cs="Arial"/>
                <w:color w:val="000000"/>
              </w:rPr>
              <w:t>Comorbidity: Tetraplegia and paraplegia</w:t>
            </w:r>
          </w:p>
        </w:tc>
        <w:tc>
          <w:tcPr>
            <w:tcW w:w="1457" w:type="dxa"/>
            <w:tcBorders>
              <w:top w:val="nil"/>
              <w:left w:val="nil"/>
              <w:bottom w:val="single" w:sz="4" w:space="0" w:color="auto"/>
              <w:right w:val="single" w:sz="4" w:space="0" w:color="auto"/>
            </w:tcBorders>
            <w:shd w:val="clear" w:color="auto" w:fill="auto"/>
            <w:noWrap/>
            <w:vAlign w:val="bottom"/>
            <w:hideMark/>
          </w:tcPr>
          <w:p w14:paraId="22D9A0EE" w14:textId="77777777" w:rsidR="00E04ABD" w:rsidRPr="00721B07" w:rsidRDefault="00E04ABD" w:rsidP="00B0051B">
            <w:pPr>
              <w:jc w:val="right"/>
              <w:rPr>
                <w:rFonts w:ascii="Arial" w:hAnsi="Arial" w:cs="Arial"/>
                <w:color w:val="000000"/>
              </w:rPr>
            </w:pPr>
            <w:r w:rsidRPr="00721B07">
              <w:rPr>
                <w:rFonts w:ascii="Arial" w:hAnsi="Arial" w:cs="Arial"/>
                <w:color w:val="000000"/>
              </w:rPr>
              <w:t>-5.607</w:t>
            </w:r>
          </w:p>
        </w:tc>
        <w:tc>
          <w:tcPr>
            <w:tcW w:w="1240" w:type="dxa"/>
            <w:tcBorders>
              <w:top w:val="nil"/>
              <w:left w:val="nil"/>
              <w:bottom w:val="single" w:sz="4" w:space="0" w:color="auto"/>
              <w:right w:val="single" w:sz="4" w:space="0" w:color="auto"/>
            </w:tcBorders>
            <w:shd w:val="clear" w:color="auto" w:fill="auto"/>
            <w:noWrap/>
            <w:vAlign w:val="bottom"/>
            <w:hideMark/>
          </w:tcPr>
          <w:p w14:paraId="11FF9A7D" w14:textId="77777777" w:rsidR="00E04ABD" w:rsidRPr="00721B07" w:rsidRDefault="00E04ABD" w:rsidP="00B0051B">
            <w:pPr>
              <w:jc w:val="right"/>
              <w:rPr>
                <w:rFonts w:ascii="Arial" w:hAnsi="Arial" w:cs="Arial"/>
                <w:color w:val="000000"/>
              </w:rPr>
            </w:pPr>
            <w:r w:rsidRPr="00721B07">
              <w:rPr>
                <w:rFonts w:ascii="Arial" w:hAnsi="Arial" w:cs="Arial"/>
                <w:color w:val="000000"/>
              </w:rPr>
              <w:t>2.597</w:t>
            </w:r>
          </w:p>
        </w:tc>
        <w:tc>
          <w:tcPr>
            <w:tcW w:w="1240" w:type="dxa"/>
            <w:tcBorders>
              <w:top w:val="nil"/>
              <w:left w:val="nil"/>
              <w:bottom w:val="single" w:sz="4" w:space="0" w:color="auto"/>
              <w:right w:val="single" w:sz="4" w:space="0" w:color="auto"/>
            </w:tcBorders>
            <w:shd w:val="clear" w:color="auto" w:fill="auto"/>
            <w:noWrap/>
            <w:vAlign w:val="bottom"/>
            <w:hideMark/>
          </w:tcPr>
          <w:p w14:paraId="15D66097" w14:textId="77777777" w:rsidR="00E04ABD" w:rsidRPr="00721B07" w:rsidRDefault="00E04ABD" w:rsidP="00B0051B">
            <w:pPr>
              <w:jc w:val="right"/>
              <w:rPr>
                <w:rFonts w:ascii="Arial" w:hAnsi="Arial" w:cs="Arial"/>
                <w:color w:val="000000"/>
              </w:rPr>
            </w:pPr>
            <w:r w:rsidRPr="00721B07">
              <w:rPr>
                <w:rFonts w:ascii="Arial" w:hAnsi="Arial" w:cs="Arial"/>
                <w:color w:val="000000"/>
              </w:rPr>
              <w:t>0.031</w:t>
            </w:r>
          </w:p>
        </w:tc>
      </w:tr>
      <w:tr w:rsidR="00E04ABD" w:rsidRPr="00721B07" w14:paraId="4A16EDF2"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FF18E8B" w14:textId="77777777" w:rsidR="00E04ABD" w:rsidRPr="00721B07" w:rsidRDefault="00E04ABD" w:rsidP="00B0051B">
            <w:pPr>
              <w:rPr>
                <w:rFonts w:ascii="Arial" w:hAnsi="Arial" w:cs="Arial"/>
                <w:color w:val="000000"/>
              </w:rPr>
            </w:pPr>
            <w:r w:rsidRPr="00721B07">
              <w:rPr>
                <w:rFonts w:ascii="Arial" w:hAnsi="Arial" w:cs="Arial"/>
                <w:color w:val="000000"/>
              </w:rPr>
              <w:t>Comorbidity: Multiple sclerosis</w:t>
            </w:r>
          </w:p>
        </w:tc>
        <w:tc>
          <w:tcPr>
            <w:tcW w:w="1457" w:type="dxa"/>
            <w:tcBorders>
              <w:top w:val="nil"/>
              <w:left w:val="nil"/>
              <w:bottom w:val="single" w:sz="4" w:space="0" w:color="auto"/>
              <w:right w:val="single" w:sz="4" w:space="0" w:color="auto"/>
            </w:tcBorders>
            <w:shd w:val="clear" w:color="auto" w:fill="auto"/>
            <w:noWrap/>
            <w:vAlign w:val="bottom"/>
            <w:hideMark/>
          </w:tcPr>
          <w:p w14:paraId="30F63739" w14:textId="77777777" w:rsidR="00E04ABD" w:rsidRPr="00721B07" w:rsidRDefault="00E04ABD" w:rsidP="00B0051B">
            <w:pPr>
              <w:jc w:val="right"/>
              <w:rPr>
                <w:rFonts w:ascii="Arial" w:hAnsi="Arial" w:cs="Arial"/>
                <w:color w:val="000000"/>
              </w:rPr>
            </w:pPr>
            <w:r w:rsidRPr="00721B07">
              <w:rPr>
                <w:rFonts w:ascii="Arial" w:hAnsi="Arial" w:cs="Arial"/>
                <w:color w:val="000000"/>
              </w:rPr>
              <w:t>-2.845</w:t>
            </w:r>
          </w:p>
        </w:tc>
        <w:tc>
          <w:tcPr>
            <w:tcW w:w="1240" w:type="dxa"/>
            <w:tcBorders>
              <w:top w:val="nil"/>
              <w:left w:val="nil"/>
              <w:bottom w:val="single" w:sz="4" w:space="0" w:color="auto"/>
              <w:right w:val="single" w:sz="4" w:space="0" w:color="auto"/>
            </w:tcBorders>
            <w:shd w:val="clear" w:color="auto" w:fill="auto"/>
            <w:noWrap/>
            <w:vAlign w:val="bottom"/>
            <w:hideMark/>
          </w:tcPr>
          <w:p w14:paraId="70B15F8B" w14:textId="77777777" w:rsidR="00E04ABD" w:rsidRPr="00721B07" w:rsidRDefault="00E04ABD" w:rsidP="00B0051B">
            <w:pPr>
              <w:jc w:val="right"/>
              <w:rPr>
                <w:rFonts w:ascii="Arial" w:hAnsi="Arial" w:cs="Arial"/>
                <w:color w:val="000000"/>
              </w:rPr>
            </w:pPr>
            <w:r w:rsidRPr="00721B07">
              <w:rPr>
                <w:rFonts w:ascii="Arial" w:hAnsi="Arial" w:cs="Arial"/>
                <w:color w:val="000000"/>
              </w:rPr>
              <w:t>1.021</w:t>
            </w:r>
          </w:p>
        </w:tc>
        <w:tc>
          <w:tcPr>
            <w:tcW w:w="1240" w:type="dxa"/>
            <w:tcBorders>
              <w:top w:val="nil"/>
              <w:left w:val="nil"/>
              <w:bottom w:val="single" w:sz="4" w:space="0" w:color="auto"/>
              <w:right w:val="single" w:sz="4" w:space="0" w:color="auto"/>
            </w:tcBorders>
            <w:shd w:val="clear" w:color="auto" w:fill="auto"/>
            <w:noWrap/>
            <w:vAlign w:val="bottom"/>
            <w:hideMark/>
          </w:tcPr>
          <w:p w14:paraId="5FAB4F88" w14:textId="77777777" w:rsidR="00E04ABD" w:rsidRPr="00721B07" w:rsidRDefault="00E04ABD" w:rsidP="00B0051B">
            <w:pPr>
              <w:jc w:val="right"/>
              <w:rPr>
                <w:rFonts w:ascii="Arial" w:hAnsi="Arial" w:cs="Arial"/>
                <w:color w:val="000000"/>
              </w:rPr>
            </w:pPr>
            <w:r w:rsidRPr="00721B07">
              <w:rPr>
                <w:rFonts w:ascii="Arial" w:hAnsi="Arial" w:cs="Arial"/>
                <w:color w:val="000000"/>
              </w:rPr>
              <w:t>0.005</w:t>
            </w:r>
          </w:p>
        </w:tc>
      </w:tr>
      <w:tr w:rsidR="00E04ABD" w:rsidRPr="00721B07" w14:paraId="060C2799"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CB33913" w14:textId="77777777" w:rsidR="00E04ABD" w:rsidRPr="00721B07" w:rsidRDefault="00E04ABD" w:rsidP="00B0051B">
            <w:pPr>
              <w:rPr>
                <w:rFonts w:ascii="Arial" w:hAnsi="Arial" w:cs="Arial"/>
                <w:color w:val="000000"/>
              </w:rPr>
            </w:pPr>
            <w:r w:rsidRPr="00721B07">
              <w:rPr>
                <w:rFonts w:ascii="Arial" w:hAnsi="Arial" w:cs="Arial"/>
                <w:color w:val="000000"/>
              </w:rPr>
              <w:t>Comorbidity: Parkinson's and Huntington's disease</w:t>
            </w:r>
          </w:p>
        </w:tc>
        <w:tc>
          <w:tcPr>
            <w:tcW w:w="1457" w:type="dxa"/>
            <w:tcBorders>
              <w:top w:val="nil"/>
              <w:left w:val="nil"/>
              <w:bottom w:val="single" w:sz="4" w:space="0" w:color="auto"/>
              <w:right w:val="single" w:sz="4" w:space="0" w:color="auto"/>
            </w:tcBorders>
            <w:shd w:val="clear" w:color="auto" w:fill="auto"/>
            <w:noWrap/>
            <w:vAlign w:val="bottom"/>
            <w:hideMark/>
          </w:tcPr>
          <w:p w14:paraId="32A177C7" w14:textId="77777777" w:rsidR="00E04ABD" w:rsidRPr="00721B07" w:rsidRDefault="00E04ABD" w:rsidP="00B0051B">
            <w:pPr>
              <w:jc w:val="right"/>
              <w:rPr>
                <w:rFonts w:ascii="Arial" w:hAnsi="Arial" w:cs="Arial"/>
                <w:color w:val="000000"/>
              </w:rPr>
            </w:pPr>
            <w:r w:rsidRPr="00721B07">
              <w:rPr>
                <w:rFonts w:ascii="Arial" w:hAnsi="Arial" w:cs="Arial"/>
                <w:color w:val="000000"/>
              </w:rPr>
              <w:t>-2.328</w:t>
            </w:r>
          </w:p>
        </w:tc>
        <w:tc>
          <w:tcPr>
            <w:tcW w:w="1240" w:type="dxa"/>
            <w:tcBorders>
              <w:top w:val="nil"/>
              <w:left w:val="nil"/>
              <w:bottom w:val="single" w:sz="4" w:space="0" w:color="auto"/>
              <w:right w:val="single" w:sz="4" w:space="0" w:color="auto"/>
            </w:tcBorders>
            <w:shd w:val="clear" w:color="auto" w:fill="auto"/>
            <w:noWrap/>
            <w:vAlign w:val="bottom"/>
            <w:hideMark/>
          </w:tcPr>
          <w:p w14:paraId="777CDA17" w14:textId="77777777" w:rsidR="00E04ABD" w:rsidRPr="00721B07" w:rsidRDefault="00E04ABD" w:rsidP="00B0051B">
            <w:pPr>
              <w:jc w:val="right"/>
              <w:rPr>
                <w:rFonts w:ascii="Arial" w:hAnsi="Arial" w:cs="Arial"/>
                <w:color w:val="000000"/>
              </w:rPr>
            </w:pPr>
            <w:r w:rsidRPr="00721B07">
              <w:rPr>
                <w:rFonts w:ascii="Arial" w:hAnsi="Arial" w:cs="Arial"/>
                <w:color w:val="000000"/>
              </w:rPr>
              <w:t>1.600</w:t>
            </w:r>
          </w:p>
        </w:tc>
        <w:tc>
          <w:tcPr>
            <w:tcW w:w="1240" w:type="dxa"/>
            <w:tcBorders>
              <w:top w:val="nil"/>
              <w:left w:val="nil"/>
              <w:bottom w:val="single" w:sz="4" w:space="0" w:color="auto"/>
              <w:right w:val="single" w:sz="4" w:space="0" w:color="auto"/>
            </w:tcBorders>
            <w:shd w:val="clear" w:color="auto" w:fill="auto"/>
            <w:noWrap/>
            <w:vAlign w:val="bottom"/>
            <w:hideMark/>
          </w:tcPr>
          <w:p w14:paraId="0BC7AB88" w14:textId="77777777" w:rsidR="00E04ABD" w:rsidRPr="00721B07" w:rsidRDefault="00E04ABD" w:rsidP="00B0051B">
            <w:pPr>
              <w:jc w:val="right"/>
              <w:rPr>
                <w:rFonts w:ascii="Arial" w:hAnsi="Arial" w:cs="Arial"/>
                <w:color w:val="000000"/>
              </w:rPr>
            </w:pPr>
            <w:r w:rsidRPr="00721B07">
              <w:rPr>
                <w:rFonts w:ascii="Arial" w:hAnsi="Arial" w:cs="Arial"/>
                <w:color w:val="000000"/>
              </w:rPr>
              <w:t>0.146</w:t>
            </w:r>
          </w:p>
        </w:tc>
      </w:tr>
      <w:tr w:rsidR="00E04ABD" w:rsidRPr="00721B07" w14:paraId="30DB1893"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B57CBFC" w14:textId="77777777" w:rsidR="00E04ABD" w:rsidRPr="00721B07" w:rsidRDefault="00E04ABD" w:rsidP="00B0051B">
            <w:pPr>
              <w:rPr>
                <w:rFonts w:ascii="Arial" w:hAnsi="Arial" w:cs="Arial"/>
                <w:color w:val="000000"/>
              </w:rPr>
            </w:pPr>
            <w:r w:rsidRPr="00721B07">
              <w:rPr>
                <w:rFonts w:ascii="Arial" w:hAnsi="Arial" w:cs="Arial"/>
                <w:color w:val="000000"/>
              </w:rPr>
              <w:t>Comorbidity: Hemiplegia, other late effects of cerebrovascular accident</w:t>
            </w:r>
          </w:p>
        </w:tc>
        <w:tc>
          <w:tcPr>
            <w:tcW w:w="1457" w:type="dxa"/>
            <w:tcBorders>
              <w:top w:val="nil"/>
              <w:left w:val="nil"/>
              <w:bottom w:val="single" w:sz="4" w:space="0" w:color="auto"/>
              <w:right w:val="single" w:sz="4" w:space="0" w:color="auto"/>
            </w:tcBorders>
            <w:shd w:val="clear" w:color="auto" w:fill="auto"/>
            <w:noWrap/>
            <w:vAlign w:val="bottom"/>
            <w:hideMark/>
          </w:tcPr>
          <w:p w14:paraId="12394D41" w14:textId="77777777" w:rsidR="00E04ABD" w:rsidRPr="00721B07" w:rsidRDefault="00E04ABD" w:rsidP="00B0051B">
            <w:pPr>
              <w:jc w:val="right"/>
              <w:rPr>
                <w:rFonts w:ascii="Arial" w:hAnsi="Arial" w:cs="Arial"/>
                <w:color w:val="000000"/>
              </w:rPr>
            </w:pPr>
            <w:r w:rsidRPr="00721B07">
              <w:rPr>
                <w:rFonts w:ascii="Arial" w:hAnsi="Arial" w:cs="Arial"/>
                <w:color w:val="000000"/>
              </w:rPr>
              <w:t>-1.789</w:t>
            </w:r>
          </w:p>
        </w:tc>
        <w:tc>
          <w:tcPr>
            <w:tcW w:w="1240" w:type="dxa"/>
            <w:tcBorders>
              <w:top w:val="nil"/>
              <w:left w:val="nil"/>
              <w:bottom w:val="single" w:sz="4" w:space="0" w:color="auto"/>
              <w:right w:val="single" w:sz="4" w:space="0" w:color="auto"/>
            </w:tcBorders>
            <w:shd w:val="clear" w:color="auto" w:fill="auto"/>
            <w:noWrap/>
            <w:vAlign w:val="bottom"/>
            <w:hideMark/>
          </w:tcPr>
          <w:p w14:paraId="3B556DC3" w14:textId="77777777" w:rsidR="00E04ABD" w:rsidRPr="00721B07" w:rsidRDefault="00E04ABD" w:rsidP="00B0051B">
            <w:pPr>
              <w:jc w:val="right"/>
              <w:rPr>
                <w:rFonts w:ascii="Arial" w:hAnsi="Arial" w:cs="Arial"/>
                <w:color w:val="000000"/>
              </w:rPr>
            </w:pPr>
            <w:r w:rsidRPr="00721B07">
              <w:rPr>
                <w:rFonts w:ascii="Arial" w:hAnsi="Arial" w:cs="Arial"/>
                <w:color w:val="000000"/>
              </w:rPr>
              <w:t>0.986</w:t>
            </w:r>
          </w:p>
        </w:tc>
        <w:tc>
          <w:tcPr>
            <w:tcW w:w="1240" w:type="dxa"/>
            <w:tcBorders>
              <w:top w:val="nil"/>
              <w:left w:val="nil"/>
              <w:bottom w:val="single" w:sz="4" w:space="0" w:color="auto"/>
              <w:right w:val="single" w:sz="4" w:space="0" w:color="auto"/>
            </w:tcBorders>
            <w:shd w:val="clear" w:color="auto" w:fill="auto"/>
            <w:noWrap/>
            <w:vAlign w:val="bottom"/>
            <w:hideMark/>
          </w:tcPr>
          <w:p w14:paraId="57609FB0" w14:textId="77777777" w:rsidR="00E04ABD" w:rsidRPr="00721B07" w:rsidRDefault="00E04ABD" w:rsidP="00B0051B">
            <w:pPr>
              <w:jc w:val="right"/>
              <w:rPr>
                <w:rFonts w:ascii="Arial" w:hAnsi="Arial" w:cs="Arial"/>
                <w:color w:val="000000"/>
              </w:rPr>
            </w:pPr>
            <w:r w:rsidRPr="00721B07">
              <w:rPr>
                <w:rFonts w:ascii="Arial" w:hAnsi="Arial" w:cs="Arial"/>
                <w:color w:val="000000"/>
              </w:rPr>
              <w:t>0.070</w:t>
            </w:r>
          </w:p>
        </w:tc>
      </w:tr>
      <w:tr w:rsidR="00E04ABD" w:rsidRPr="00721B07" w14:paraId="2C2F1387"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604A9FFC" w14:textId="77777777" w:rsidR="00E04ABD" w:rsidRPr="00721B07" w:rsidRDefault="00E04ABD" w:rsidP="00B0051B">
            <w:pPr>
              <w:rPr>
                <w:rFonts w:ascii="Arial" w:hAnsi="Arial" w:cs="Arial"/>
                <w:color w:val="000000"/>
              </w:rPr>
            </w:pPr>
            <w:r w:rsidRPr="00721B07">
              <w:rPr>
                <w:rFonts w:ascii="Arial" w:hAnsi="Arial" w:cs="Arial"/>
                <w:color w:val="000000"/>
              </w:rPr>
              <w:t>Comorbidity: Dialysis status and chronic kidney disease stage 5</w:t>
            </w:r>
          </w:p>
        </w:tc>
        <w:tc>
          <w:tcPr>
            <w:tcW w:w="1457" w:type="dxa"/>
            <w:tcBorders>
              <w:top w:val="nil"/>
              <w:left w:val="nil"/>
              <w:bottom w:val="single" w:sz="4" w:space="0" w:color="auto"/>
              <w:right w:val="single" w:sz="4" w:space="0" w:color="auto"/>
            </w:tcBorders>
            <w:shd w:val="clear" w:color="auto" w:fill="auto"/>
            <w:noWrap/>
            <w:vAlign w:val="bottom"/>
            <w:hideMark/>
          </w:tcPr>
          <w:p w14:paraId="29E8658F" w14:textId="77777777" w:rsidR="00E04ABD" w:rsidRPr="00721B07" w:rsidRDefault="00E04ABD" w:rsidP="00B0051B">
            <w:pPr>
              <w:jc w:val="right"/>
              <w:rPr>
                <w:rFonts w:ascii="Arial" w:hAnsi="Arial" w:cs="Arial"/>
                <w:color w:val="000000"/>
              </w:rPr>
            </w:pPr>
            <w:r w:rsidRPr="00721B07">
              <w:rPr>
                <w:rFonts w:ascii="Arial" w:hAnsi="Arial" w:cs="Arial"/>
                <w:color w:val="000000"/>
              </w:rPr>
              <w:t>0.281</w:t>
            </w:r>
          </w:p>
        </w:tc>
        <w:tc>
          <w:tcPr>
            <w:tcW w:w="1240" w:type="dxa"/>
            <w:tcBorders>
              <w:top w:val="nil"/>
              <w:left w:val="nil"/>
              <w:bottom w:val="single" w:sz="4" w:space="0" w:color="auto"/>
              <w:right w:val="single" w:sz="4" w:space="0" w:color="auto"/>
            </w:tcBorders>
            <w:shd w:val="clear" w:color="auto" w:fill="auto"/>
            <w:noWrap/>
            <w:vAlign w:val="bottom"/>
            <w:hideMark/>
          </w:tcPr>
          <w:p w14:paraId="538CDEB6" w14:textId="77777777" w:rsidR="00E04ABD" w:rsidRPr="00721B07" w:rsidRDefault="00E04ABD" w:rsidP="00B0051B">
            <w:pPr>
              <w:jc w:val="right"/>
              <w:rPr>
                <w:rFonts w:ascii="Arial" w:hAnsi="Arial" w:cs="Arial"/>
                <w:color w:val="000000"/>
              </w:rPr>
            </w:pPr>
            <w:r w:rsidRPr="00721B07">
              <w:rPr>
                <w:rFonts w:ascii="Arial" w:hAnsi="Arial" w:cs="Arial"/>
                <w:color w:val="000000"/>
              </w:rPr>
              <w:t>0.848</w:t>
            </w:r>
          </w:p>
        </w:tc>
        <w:tc>
          <w:tcPr>
            <w:tcW w:w="1240" w:type="dxa"/>
            <w:tcBorders>
              <w:top w:val="nil"/>
              <w:left w:val="nil"/>
              <w:bottom w:val="single" w:sz="4" w:space="0" w:color="auto"/>
              <w:right w:val="single" w:sz="4" w:space="0" w:color="auto"/>
            </w:tcBorders>
            <w:shd w:val="clear" w:color="auto" w:fill="auto"/>
            <w:noWrap/>
            <w:vAlign w:val="bottom"/>
            <w:hideMark/>
          </w:tcPr>
          <w:p w14:paraId="5E48DC0F" w14:textId="77777777" w:rsidR="00E04ABD" w:rsidRPr="00721B07" w:rsidRDefault="00E04ABD" w:rsidP="00B0051B">
            <w:pPr>
              <w:jc w:val="right"/>
              <w:rPr>
                <w:rFonts w:ascii="Arial" w:hAnsi="Arial" w:cs="Arial"/>
                <w:color w:val="000000"/>
              </w:rPr>
            </w:pPr>
            <w:r w:rsidRPr="00721B07">
              <w:rPr>
                <w:rFonts w:ascii="Arial" w:hAnsi="Arial" w:cs="Arial"/>
                <w:color w:val="000000"/>
              </w:rPr>
              <w:t>0.741</w:t>
            </w:r>
          </w:p>
        </w:tc>
      </w:tr>
      <w:tr w:rsidR="00E04ABD" w:rsidRPr="00721B07" w14:paraId="6AFD9A7A"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50CE0FC" w14:textId="77777777" w:rsidR="00E04ABD" w:rsidRPr="00721B07" w:rsidRDefault="00E04ABD" w:rsidP="00B0051B">
            <w:pPr>
              <w:rPr>
                <w:rFonts w:ascii="Arial" w:hAnsi="Arial" w:cs="Arial"/>
                <w:color w:val="000000"/>
              </w:rPr>
            </w:pPr>
            <w:r w:rsidRPr="00721B07">
              <w:rPr>
                <w:rFonts w:ascii="Arial" w:hAnsi="Arial" w:cs="Arial"/>
                <w:color w:val="000000"/>
              </w:rPr>
              <w:t>Comorbidity: Urinary obstruction/retention</w:t>
            </w:r>
          </w:p>
        </w:tc>
        <w:tc>
          <w:tcPr>
            <w:tcW w:w="1457" w:type="dxa"/>
            <w:tcBorders>
              <w:top w:val="nil"/>
              <w:left w:val="nil"/>
              <w:bottom w:val="single" w:sz="4" w:space="0" w:color="auto"/>
              <w:right w:val="single" w:sz="4" w:space="0" w:color="auto"/>
            </w:tcBorders>
            <w:shd w:val="clear" w:color="auto" w:fill="auto"/>
            <w:noWrap/>
            <w:vAlign w:val="bottom"/>
            <w:hideMark/>
          </w:tcPr>
          <w:p w14:paraId="7A1FED33" w14:textId="77777777" w:rsidR="00E04ABD" w:rsidRPr="00721B07" w:rsidRDefault="00E04ABD" w:rsidP="00B0051B">
            <w:pPr>
              <w:jc w:val="right"/>
              <w:rPr>
                <w:rFonts w:ascii="Arial" w:hAnsi="Arial" w:cs="Arial"/>
                <w:color w:val="000000"/>
              </w:rPr>
            </w:pPr>
            <w:r w:rsidRPr="00721B07">
              <w:rPr>
                <w:rFonts w:ascii="Arial" w:hAnsi="Arial" w:cs="Arial"/>
                <w:color w:val="000000"/>
              </w:rPr>
              <w:t>-0.078</w:t>
            </w:r>
          </w:p>
        </w:tc>
        <w:tc>
          <w:tcPr>
            <w:tcW w:w="1240" w:type="dxa"/>
            <w:tcBorders>
              <w:top w:val="nil"/>
              <w:left w:val="nil"/>
              <w:bottom w:val="single" w:sz="4" w:space="0" w:color="auto"/>
              <w:right w:val="single" w:sz="4" w:space="0" w:color="auto"/>
            </w:tcBorders>
            <w:shd w:val="clear" w:color="auto" w:fill="auto"/>
            <w:noWrap/>
            <w:vAlign w:val="bottom"/>
            <w:hideMark/>
          </w:tcPr>
          <w:p w14:paraId="35DBAC92" w14:textId="77777777" w:rsidR="00E04ABD" w:rsidRPr="00721B07" w:rsidRDefault="00E04ABD" w:rsidP="00B0051B">
            <w:pPr>
              <w:jc w:val="right"/>
              <w:rPr>
                <w:rFonts w:ascii="Arial" w:hAnsi="Arial" w:cs="Arial"/>
                <w:color w:val="000000"/>
              </w:rPr>
            </w:pPr>
            <w:r w:rsidRPr="00721B07">
              <w:rPr>
                <w:rFonts w:ascii="Arial" w:hAnsi="Arial" w:cs="Arial"/>
                <w:color w:val="000000"/>
              </w:rPr>
              <w:t>0.887</w:t>
            </w:r>
          </w:p>
        </w:tc>
        <w:tc>
          <w:tcPr>
            <w:tcW w:w="1240" w:type="dxa"/>
            <w:tcBorders>
              <w:top w:val="nil"/>
              <w:left w:val="nil"/>
              <w:bottom w:val="single" w:sz="4" w:space="0" w:color="auto"/>
              <w:right w:val="single" w:sz="4" w:space="0" w:color="auto"/>
            </w:tcBorders>
            <w:shd w:val="clear" w:color="auto" w:fill="auto"/>
            <w:noWrap/>
            <w:vAlign w:val="bottom"/>
            <w:hideMark/>
          </w:tcPr>
          <w:p w14:paraId="47783E5F" w14:textId="77777777" w:rsidR="00E04ABD" w:rsidRPr="00721B07" w:rsidRDefault="00E04ABD" w:rsidP="00B0051B">
            <w:pPr>
              <w:jc w:val="right"/>
              <w:rPr>
                <w:rFonts w:ascii="Arial" w:hAnsi="Arial" w:cs="Arial"/>
                <w:color w:val="000000"/>
              </w:rPr>
            </w:pPr>
            <w:r w:rsidRPr="00721B07">
              <w:rPr>
                <w:rFonts w:ascii="Arial" w:hAnsi="Arial" w:cs="Arial"/>
                <w:color w:val="000000"/>
              </w:rPr>
              <w:t>0.930</w:t>
            </w:r>
          </w:p>
        </w:tc>
      </w:tr>
      <w:tr w:rsidR="00E04ABD" w:rsidRPr="00721B07" w14:paraId="397393DE" w14:textId="77777777" w:rsidTr="00D221E3">
        <w:trPr>
          <w:trHeight w:val="29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E1C1D9A" w14:textId="77777777" w:rsidR="00E04ABD" w:rsidRPr="00721B07" w:rsidRDefault="00E04ABD" w:rsidP="00B0051B">
            <w:pPr>
              <w:rPr>
                <w:rFonts w:ascii="Arial" w:hAnsi="Arial" w:cs="Arial"/>
                <w:color w:val="000000"/>
              </w:rPr>
            </w:pPr>
            <w:r w:rsidRPr="00721B07">
              <w:rPr>
                <w:rFonts w:ascii="Arial" w:hAnsi="Arial" w:cs="Arial"/>
                <w:color w:val="000000"/>
              </w:rPr>
              <w:t>Comorbidity: Amputation</w:t>
            </w:r>
          </w:p>
        </w:tc>
        <w:tc>
          <w:tcPr>
            <w:tcW w:w="1457" w:type="dxa"/>
            <w:tcBorders>
              <w:top w:val="nil"/>
              <w:left w:val="nil"/>
              <w:bottom w:val="single" w:sz="4" w:space="0" w:color="auto"/>
              <w:right w:val="single" w:sz="4" w:space="0" w:color="auto"/>
            </w:tcBorders>
            <w:shd w:val="clear" w:color="auto" w:fill="auto"/>
            <w:noWrap/>
            <w:vAlign w:val="bottom"/>
            <w:hideMark/>
          </w:tcPr>
          <w:p w14:paraId="37A86A59" w14:textId="77777777" w:rsidR="00E04ABD" w:rsidRPr="00721B07" w:rsidRDefault="00E04ABD" w:rsidP="00B0051B">
            <w:pPr>
              <w:jc w:val="right"/>
              <w:rPr>
                <w:rFonts w:ascii="Arial" w:hAnsi="Arial" w:cs="Arial"/>
                <w:color w:val="000000"/>
              </w:rPr>
            </w:pPr>
            <w:r w:rsidRPr="00721B07">
              <w:rPr>
                <w:rFonts w:ascii="Arial" w:hAnsi="Arial" w:cs="Arial"/>
                <w:color w:val="000000"/>
              </w:rPr>
              <w:t>-4.664</w:t>
            </w:r>
          </w:p>
        </w:tc>
        <w:tc>
          <w:tcPr>
            <w:tcW w:w="1240" w:type="dxa"/>
            <w:tcBorders>
              <w:top w:val="nil"/>
              <w:left w:val="nil"/>
              <w:bottom w:val="single" w:sz="4" w:space="0" w:color="auto"/>
              <w:right w:val="single" w:sz="4" w:space="0" w:color="auto"/>
            </w:tcBorders>
            <w:shd w:val="clear" w:color="auto" w:fill="auto"/>
            <w:noWrap/>
            <w:vAlign w:val="bottom"/>
            <w:hideMark/>
          </w:tcPr>
          <w:p w14:paraId="5304A429" w14:textId="77777777" w:rsidR="00E04ABD" w:rsidRPr="00721B07" w:rsidRDefault="00E04ABD" w:rsidP="00B0051B">
            <w:pPr>
              <w:jc w:val="right"/>
              <w:rPr>
                <w:rFonts w:ascii="Arial" w:hAnsi="Arial" w:cs="Arial"/>
                <w:color w:val="000000"/>
              </w:rPr>
            </w:pPr>
            <w:r w:rsidRPr="00721B07">
              <w:rPr>
                <w:rFonts w:ascii="Arial" w:hAnsi="Arial" w:cs="Arial"/>
                <w:color w:val="000000"/>
              </w:rPr>
              <w:t>1.495</w:t>
            </w:r>
          </w:p>
        </w:tc>
        <w:tc>
          <w:tcPr>
            <w:tcW w:w="1240" w:type="dxa"/>
            <w:tcBorders>
              <w:top w:val="nil"/>
              <w:left w:val="nil"/>
              <w:bottom w:val="single" w:sz="4" w:space="0" w:color="auto"/>
              <w:right w:val="single" w:sz="4" w:space="0" w:color="auto"/>
            </w:tcBorders>
            <w:shd w:val="clear" w:color="auto" w:fill="auto"/>
            <w:noWrap/>
            <w:vAlign w:val="bottom"/>
            <w:hideMark/>
          </w:tcPr>
          <w:p w14:paraId="741A8BD6" w14:textId="77777777" w:rsidR="00E04ABD" w:rsidRPr="00721B07" w:rsidRDefault="00E04ABD" w:rsidP="00B0051B">
            <w:pPr>
              <w:jc w:val="right"/>
              <w:rPr>
                <w:rFonts w:ascii="Arial" w:hAnsi="Arial" w:cs="Arial"/>
                <w:color w:val="000000"/>
              </w:rPr>
            </w:pPr>
            <w:r w:rsidRPr="00721B07">
              <w:rPr>
                <w:rFonts w:ascii="Arial" w:hAnsi="Arial" w:cs="Arial"/>
                <w:color w:val="000000"/>
              </w:rPr>
              <w:t>0.002</w:t>
            </w:r>
          </w:p>
        </w:tc>
      </w:tr>
    </w:tbl>
    <w:p w14:paraId="4221C412" w14:textId="77777777" w:rsidR="00E7716C" w:rsidRDefault="00E7716C" w:rsidP="00383607">
      <w:pPr>
        <w:spacing w:after="0" w:line="240" w:lineRule="auto"/>
        <w:rPr>
          <w:rFonts w:ascii="Arial" w:hAnsi="Arial" w:cs="Arial"/>
          <w:sz w:val="22"/>
          <w:szCs w:val="22"/>
        </w:rPr>
      </w:pPr>
    </w:p>
    <w:p w14:paraId="21FC80B2" w14:textId="631545C0" w:rsidR="00E04ABD" w:rsidRPr="004D5595" w:rsidRDefault="00E04ABD" w:rsidP="00E04ABD">
      <w:pPr>
        <w:spacing w:line="480" w:lineRule="auto"/>
        <w:rPr>
          <w:rFonts w:ascii="Arial" w:hAnsi="Arial" w:cs="Arial"/>
          <w:sz w:val="22"/>
          <w:szCs w:val="22"/>
        </w:rPr>
      </w:pPr>
      <w:r>
        <w:rPr>
          <w:rFonts w:ascii="Arial" w:hAnsi="Arial" w:cs="Arial"/>
          <w:sz w:val="22"/>
          <w:szCs w:val="22"/>
        </w:rPr>
        <w:t>R</w:t>
      </w:r>
      <w:r>
        <w:rPr>
          <w:rFonts w:ascii="Arial" w:hAnsi="Arial" w:cs="Arial"/>
          <w:sz w:val="22"/>
          <w:szCs w:val="22"/>
          <w:vertAlign w:val="superscript"/>
        </w:rPr>
        <w:t>2</w:t>
      </w:r>
      <w:r>
        <w:rPr>
          <w:rFonts w:ascii="Arial" w:hAnsi="Arial" w:cs="Arial"/>
          <w:sz w:val="22"/>
          <w:szCs w:val="22"/>
        </w:rPr>
        <w:t>=0.19, n=6403</w:t>
      </w:r>
    </w:p>
    <w:p w14:paraId="6EE1E65B" w14:textId="77777777" w:rsidR="00E04ABD" w:rsidRDefault="00E04ABD" w:rsidP="00E04ABD">
      <w:pPr>
        <w:rPr>
          <w:rFonts w:ascii="Arial" w:hAnsi="Arial" w:cs="Arial"/>
          <w:sz w:val="22"/>
          <w:szCs w:val="22"/>
        </w:rPr>
      </w:pPr>
      <w:r>
        <w:rPr>
          <w:rFonts w:ascii="Arial" w:hAnsi="Arial" w:cs="Arial"/>
          <w:sz w:val="22"/>
          <w:szCs w:val="22"/>
        </w:rPr>
        <w:br w:type="page"/>
      </w:r>
    </w:p>
    <w:p w14:paraId="6B4F2C03" w14:textId="77777777" w:rsidR="00E04ABD" w:rsidRDefault="00E04ABD" w:rsidP="00E04ABD">
      <w:pPr>
        <w:keepNext/>
        <w:rPr>
          <w:rFonts w:ascii="Arial" w:hAnsi="Arial" w:cs="Arial"/>
          <w:sz w:val="22"/>
          <w:szCs w:val="22"/>
        </w:rPr>
      </w:pPr>
      <w:r w:rsidRPr="003F0046">
        <w:rPr>
          <w:rFonts w:ascii="Arial" w:hAnsi="Arial" w:cs="Arial"/>
          <w:b/>
          <w:sz w:val="22"/>
          <w:szCs w:val="22"/>
        </w:rPr>
        <w:t xml:space="preserve">Figure </w:t>
      </w:r>
      <w:r>
        <w:rPr>
          <w:rFonts w:ascii="Arial" w:hAnsi="Arial" w:cs="Arial"/>
          <w:b/>
          <w:sz w:val="22"/>
          <w:szCs w:val="22"/>
        </w:rPr>
        <w:t>A2</w:t>
      </w:r>
      <w:r w:rsidRPr="003F0046">
        <w:rPr>
          <w:rFonts w:ascii="Arial" w:hAnsi="Arial" w:cs="Arial"/>
          <w:b/>
          <w:sz w:val="22"/>
          <w:szCs w:val="22"/>
        </w:rPr>
        <w:t>:</w:t>
      </w:r>
      <w:r w:rsidRPr="003F0046">
        <w:rPr>
          <w:rFonts w:ascii="Arial" w:hAnsi="Arial" w:cs="Arial"/>
          <w:sz w:val="22"/>
          <w:szCs w:val="22"/>
        </w:rPr>
        <w:t xml:space="preserve"> Exclusion cri</w:t>
      </w:r>
      <w:r>
        <w:rPr>
          <w:rFonts w:ascii="Arial" w:hAnsi="Arial" w:cs="Arial"/>
          <w:sz w:val="22"/>
          <w:szCs w:val="22"/>
        </w:rPr>
        <w:t>teria for the readmission model</w:t>
      </w:r>
    </w:p>
    <w:p w14:paraId="57587223" w14:textId="77777777" w:rsidR="00E04ABD" w:rsidRPr="00E140D1" w:rsidRDefault="00E04ABD" w:rsidP="00E04ABD">
      <w:pPr>
        <w:keepNext/>
        <w:rPr>
          <w:rFonts w:ascii="Arial" w:hAnsi="Arial" w:cs="Arial"/>
          <w:sz w:val="22"/>
          <w:szCs w:val="22"/>
        </w:rPr>
      </w:pPr>
    </w:p>
    <w:p w14:paraId="771F9D13" w14:textId="77777777" w:rsidR="00E04ABD" w:rsidRDefault="00E04ABD" w:rsidP="00E04ABD">
      <w:pPr>
        <w:keepNext/>
        <w:rPr>
          <w:rFonts w:ascii="Arial" w:hAnsi="Arial" w:cs="Arial"/>
          <w:b/>
          <w:bCs/>
          <w:sz w:val="22"/>
          <w:szCs w:val="22"/>
        </w:rPr>
      </w:pPr>
      <w:r w:rsidRPr="00D70AE5">
        <w:rPr>
          <w:noProof/>
        </w:rPr>
        <w:drawing>
          <wp:inline distT="0" distB="0" distL="0" distR="0" wp14:anchorId="690A4AC2" wp14:editId="4AE2DDE6">
            <wp:extent cx="5492750"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3771900"/>
                    </a:xfrm>
                    <a:prstGeom prst="rect">
                      <a:avLst/>
                    </a:prstGeom>
                    <a:noFill/>
                    <a:ln>
                      <a:noFill/>
                    </a:ln>
                  </pic:spPr>
                </pic:pic>
              </a:graphicData>
            </a:graphic>
          </wp:inline>
        </w:drawing>
      </w:r>
    </w:p>
    <w:p w14:paraId="12D9E57B" w14:textId="77777777" w:rsidR="00E04ABD" w:rsidRDefault="00E04ABD" w:rsidP="00E04ABD">
      <w:pPr>
        <w:rPr>
          <w:rFonts w:ascii="Arial" w:hAnsi="Arial" w:cs="Arial"/>
          <w:sz w:val="22"/>
          <w:szCs w:val="22"/>
        </w:rPr>
      </w:pPr>
      <w:r>
        <w:rPr>
          <w:rFonts w:ascii="Arial" w:hAnsi="Arial" w:cs="Arial"/>
          <w:sz w:val="22"/>
          <w:szCs w:val="22"/>
        </w:rPr>
        <w:br w:type="page"/>
      </w:r>
    </w:p>
    <w:p w14:paraId="4C4551A9" w14:textId="77777777" w:rsidR="00E04ABD" w:rsidRDefault="00E04ABD" w:rsidP="00E04ABD">
      <w:pPr>
        <w:rPr>
          <w:rFonts w:ascii="Arial" w:hAnsi="Arial" w:cs="Arial"/>
          <w:sz w:val="22"/>
          <w:szCs w:val="22"/>
        </w:rPr>
      </w:pPr>
      <w:r w:rsidRPr="003F0046">
        <w:rPr>
          <w:rFonts w:ascii="Arial" w:hAnsi="Arial" w:cs="Arial"/>
          <w:b/>
          <w:bCs/>
          <w:sz w:val="22"/>
          <w:szCs w:val="22"/>
        </w:rPr>
        <w:t xml:space="preserve">Table </w:t>
      </w:r>
      <w:r>
        <w:rPr>
          <w:rFonts w:ascii="Arial" w:hAnsi="Arial" w:cs="Arial"/>
          <w:b/>
          <w:bCs/>
          <w:sz w:val="22"/>
          <w:szCs w:val="22"/>
        </w:rPr>
        <w:t>A</w:t>
      </w:r>
      <w:r w:rsidRPr="003F0046">
        <w:rPr>
          <w:rFonts w:ascii="Arial" w:hAnsi="Arial" w:cs="Arial"/>
          <w:b/>
          <w:bCs/>
          <w:sz w:val="22"/>
          <w:szCs w:val="22"/>
        </w:rPr>
        <w:t>4:</w:t>
      </w:r>
      <w:r w:rsidRPr="003F0046">
        <w:rPr>
          <w:rFonts w:ascii="Arial" w:hAnsi="Arial" w:cs="Arial"/>
          <w:sz w:val="22"/>
          <w:szCs w:val="22"/>
        </w:rPr>
        <w:t xml:space="preserve"> </w:t>
      </w:r>
      <w:r w:rsidRPr="004A622E">
        <w:rPr>
          <w:rFonts w:ascii="Arial" w:hAnsi="Arial" w:cs="Arial"/>
          <w:b/>
          <w:sz w:val="22"/>
          <w:szCs w:val="22"/>
        </w:rPr>
        <w:t>Risk adjustors for the readmission model</w:t>
      </w:r>
    </w:p>
    <w:tbl>
      <w:tblPr>
        <w:tblW w:w="10215" w:type="dxa"/>
        <w:tblLook w:val="04A0" w:firstRow="1" w:lastRow="0" w:firstColumn="1" w:lastColumn="0" w:noHBand="0" w:noVBand="1"/>
      </w:tblPr>
      <w:tblGrid>
        <w:gridCol w:w="7080"/>
        <w:gridCol w:w="1353"/>
        <w:gridCol w:w="1240"/>
        <w:gridCol w:w="1240"/>
      </w:tblGrid>
      <w:tr w:rsidR="00506E54" w:rsidRPr="002255F7" w14:paraId="4BCC405D" w14:textId="77777777" w:rsidTr="00E7716C">
        <w:trPr>
          <w:trHeight w:val="290"/>
          <w:tblHeader/>
        </w:trPr>
        <w:tc>
          <w:tcPr>
            <w:tcW w:w="7080" w:type="dxa"/>
            <w:tcBorders>
              <w:top w:val="single" w:sz="4" w:space="0" w:color="auto"/>
              <w:left w:val="single" w:sz="4" w:space="0" w:color="auto"/>
              <w:bottom w:val="nil"/>
              <w:right w:val="single" w:sz="4" w:space="0" w:color="auto"/>
            </w:tcBorders>
            <w:shd w:val="clear" w:color="000000" w:fill="FFFFFF"/>
            <w:noWrap/>
            <w:vAlign w:val="bottom"/>
            <w:hideMark/>
          </w:tcPr>
          <w:p w14:paraId="0380FB3E"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Variable</w:t>
            </w:r>
          </w:p>
        </w:tc>
        <w:tc>
          <w:tcPr>
            <w:tcW w:w="655" w:type="dxa"/>
            <w:tcBorders>
              <w:top w:val="single" w:sz="4" w:space="0" w:color="auto"/>
              <w:left w:val="nil"/>
              <w:bottom w:val="nil"/>
              <w:right w:val="single" w:sz="4" w:space="0" w:color="auto"/>
            </w:tcBorders>
            <w:shd w:val="clear" w:color="000000" w:fill="FFFFFF"/>
            <w:noWrap/>
            <w:vAlign w:val="bottom"/>
            <w:hideMark/>
          </w:tcPr>
          <w:p w14:paraId="06333A31"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Coefficient</w:t>
            </w:r>
          </w:p>
        </w:tc>
        <w:tc>
          <w:tcPr>
            <w:tcW w:w="1240" w:type="dxa"/>
            <w:tcBorders>
              <w:top w:val="single" w:sz="4" w:space="0" w:color="auto"/>
              <w:left w:val="nil"/>
              <w:bottom w:val="nil"/>
              <w:right w:val="single" w:sz="4" w:space="0" w:color="auto"/>
            </w:tcBorders>
            <w:shd w:val="clear" w:color="000000" w:fill="FFFFFF"/>
            <w:noWrap/>
            <w:vAlign w:val="bottom"/>
            <w:hideMark/>
          </w:tcPr>
          <w:p w14:paraId="764C13E8"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SE</w:t>
            </w:r>
          </w:p>
        </w:tc>
        <w:tc>
          <w:tcPr>
            <w:tcW w:w="1240" w:type="dxa"/>
            <w:tcBorders>
              <w:top w:val="single" w:sz="4" w:space="0" w:color="auto"/>
              <w:left w:val="nil"/>
              <w:bottom w:val="nil"/>
              <w:right w:val="single" w:sz="4" w:space="0" w:color="auto"/>
            </w:tcBorders>
            <w:shd w:val="clear" w:color="000000" w:fill="FFFFFF"/>
            <w:noWrap/>
            <w:vAlign w:val="bottom"/>
            <w:hideMark/>
          </w:tcPr>
          <w:p w14:paraId="5FA4AEA1" w14:textId="77777777" w:rsidR="00506E54" w:rsidRPr="002255F7" w:rsidRDefault="00506E54" w:rsidP="00436120">
            <w:pPr>
              <w:jc w:val="center"/>
              <w:rPr>
                <w:rFonts w:ascii="Arial" w:hAnsi="Arial" w:cs="Arial"/>
                <w:b/>
                <w:bCs/>
                <w:color w:val="000000"/>
                <w:sz w:val="22"/>
                <w:szCs w:val="22"/>
              </w:rPr>
            </w:pPr>
            <w:r w:rsidRPr="002255F7">
              <w:rPr>
                <w:rFonts w:ascii="Arial" w:hAnsi="Arial" w:cs="Arial"/>
                <w:b/>
                <w:bCs/>
                <w:color w:val="000000"/>
                <w:sz w:val="22"/>
                <w:szCs w:val="22"/>
              </w:rPr>
              <w:t>p-value</w:t>
            </w:r>
          </w:p>
        </w:tc>
      </w:tr>
      <w:tr w:rsidR="00506E54" w:rsidRPr="002255F7" w14:paraId="1DBF9A83"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CDFC82"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Intercept</w:t>
            </w:r>
          </w:p>
        </w:tc>
        <w:tc>
          <w:tcPr>
            <w:tcW w:w="655" w:type="dxa"/>
            <w:tcBorders>
              <w:top w:val="single" w:sz="4" w:space="0" w:color="auto"/>
              <w:left w:val="nil"/>
              <w:bottom w:val="single" w:sz="4" w:space="0" w:color="auto"/>
              <w:right w:val="single" w:sz="4" w:space="0" w:color="auto"/>
            </w:tcBorders>
            <w:shd w:val="clear" w:color="000000" w:fill="FFFFFF"/>
            <w:noWrap/>
            <w:vAlign w:val="bottom"/>
            <w:hideMark/>
          </w:tcPr>
          <w:p w14:paraId="7A5D076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-1.673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DF2D8B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0.479</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870783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r>
      <w:tr w:rsidR="00506E54" w:rsidRPr="002255F7" w14:paraId="0E368D8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A975B9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Younger than 35</w:t>
            </w:r>
          </w:p>
        </w:tc>
        <w:tc>
          <w:tcPr>
            <w:tcW w:w="655" w:type="dxa"/>
            <w:tcBorders>
              <w:top w:val="nil"/>
              <w:left w:val="nil"/>
              <w:bottom w:val="single" w:sz="4" w:space="0" w:color="auto"/>
              <w:right w:val="single" w:sz="4" w:space="0" w:color="auto"/>
            </w:tcBorders>
            <w:shd w:val="clear" w:color="000000" w:fill="FFFFFF"/>
            <w:noWrap/>
            <w:vAlign w:val="bottom"/>
            <w:hideMark/>
          </w:tcPr>
          <w:p w14:paraId="7BA1C56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0.353</w:t>
            </w:r>
          </w:p>
        </w:tc>
        <w:tc>
          <w:tcPr>
            <w:tcW w:w="1240" w:type="dxa"/>
            <w:tcBorders>
              <w:top w:val="nil"/>
              <w:left w:val="nil"/>
              <w:bottom w:val="single" w:sz="4" w:space="0" w:color="auto"/>
              <w:right w:val="single" w:sz="4" w:space="0" w:color="auto"/>
            </w:tcBorders>
            <w:shd w:val="clear" w:color="000000" w:fill="FFFFFF"/>
            <w:noWrap/>
            <w:vAlign w:val="bottom"/>
            <w:hideMark/>
          </w:tcPr>
          <w:p w14:paraId="081F3C4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0.476</w:t>
            </w:r>
          </w:p>
        </w:tc>
        <w:tc>
          <w:tcPr>
            <w:tcW w:w="1240" w:type="dxa"/>
            <w:tcBorders>
              <w:top w:val="nil"/>
              <w:left w:val="nil"/>
              <w:bottom w:val="single" w:sz="4" w:space="0" w:color="auto"/>
              <w:right w:val="single" w:sz="4" w:space="0" w:color="auto"/>
            </w:tcBorders>
            <w:shd w:val="clear" w:color="000000" w:fill="FFFFFF"/>
            <w:noWrap/>
            <w:vAlign w:val="bottom"/>
            <w:hideMark/>
          </w:tcPr>
          <w:p w14:paraId="3157BE9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0.458</w:t>
            </w:r>
          </w:p>
        </w:tc>
      </w:tr>
      <w:tr w:rsidR="00506E54" w:rsidRPr="002255F7" w14:paraId="3BFEBA65"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DE141F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35-44</w:t>
            </w:r>
          </w:p>
        </w:tc>
        <w:tc>
          <w:tcPr>
            <w:tcW w:w="655" w:type="dxa"/>
            <w:tcBorders>
              <w:top w:val="nil"/>
              <w:left w:val="nil"/>
              <w:bottom w:val="single" w:sz="4" w:space="0" w:color="auto"/>
              <w:right w:val="single" w:sz="4" w:space="0" w:color="auto"/>
            </w:tcBorders>
            <w:shd w:val="clear" w:color="000000" w:fill="FFFFFF"/>
            <w:noWrap/>
            <w:vAlign w:val="bottom"/>
            <w:hideMark/>
          </w:tcPr>
          <w:p w14:paraId="25ADC36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0.036</w:t>
            </w:r>
          </w:p>
        </w:tc>
        <w:tc>
          <w:tcPr>
            <w:tcW w:w="1240" w:type="dxa"/>
            <w:tcBorders>
              <w:top w:val="nil"/>
              <w:left w:val="nil"/>
              <w:bottom w:val="single" w:sz="4" w:space="0" w:color="auto"/>
              <w:right w:val="single" w:sz="4" w:space="0" w:color="auto"/>
            </w:tcBorders>
            <w:shd w:val="clear" w:color="000000" w:fill="FFFFFF"/>
            <w:noWrap/>
            <w:vAlign w:val="bottom"/>
            <w:hideMark/>
          </w:tcPr>
          <w:p w14:paraId="162F2D1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0.627</w:t>
            </w:r>
          </w:p>
        </w:tc>
        <w:tc>
          <w:tcPr>
            <w:tcW w:w="1240" w:type="dxa"/>
            <w:tcBorders>
              <w:top w:val="nil"/>
              <w:left w:val="nil"/>
              <w:bottom w:val="single" w:sz="4" w:space="0" w:color="auto"/>
              <w:right w:val="single" w:sz="4" w:space="0" w:color="auto"/>
            </w:tcBorders>
            <w:shd w:val="clear" w:color="000000" w:fill="FFFFFF"/>
            <w:noWrap/>
            <w:vAlign w:val="bottom"/>
            <w:hideMark/>
          </w:tcPr>
          <w:p w14:paraId="2AE205A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0.954</w:t>
            </w:r>
          </w:p>
        </w:tc>
      </w:tr>
      <w:tr w:rsidR="00506E54" w:rsidRPr="002255F7" w14:paraId="2260D0E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641846B"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45-54</w:t>
            </w:r>
          </w:p>
        </w:tc>
        <w:tc>
          <w:tcPr>
            <w:tcW w:w="655" w:type="dxa"/>
            <w:tcBorders>
              <w:top w:val="nil"/>
              <w:left w:val="nil"/>
              <w:bottom w:val="single" w:sz="4" w:space="0" w:color="auto"/>
              <w:right w:val="single" w:sz="4" w:space="0" w:color="auto"/>
            </w:tcBorders>
            <w:shd w:val="clear" w:color="000000" w:fill="FFFFFF"/>
            <w:noWrap/>
            <w:vAlign w:val="bottom"/>
            <w:hideMark/>
          </w:tcPr>
          <w:p w14:paraId="0A81BA8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0.259</w:t>
            </w:r>
          </w:p>
        </w:tc>
        <w:tc>
          <w:tcPr>
            <w:tcW w:w="1240" w:type="dxa"/>
            <w:tcBorders>
              <w:top w:val="nil"/>
              <w:left w:val="nil"/>
              <w:bottom w:val="single" w:sz="4" w:space="0" w:color="auto"/>
              <w:right w:val="single" w:sz="4" w:space="0" w:color="auto"/>
            </w:tcBorders>
            <w:shd w:val="clear" w:color="000000" w:fill="FFFFFF"/>
            <w:noWrap/>
            <w:vAlign w:val="bottom"/>
            <w:hideMark/>
          </w:tcPr>
          <w:p w14:paraId="2DDE066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0.277</w:t>
            </w:r>
          </w:p>
        </w:tc>
        <w:tc>
          <w:tcPr>
            <w:tcW w:w="1240" w:type="dxa"/>
            <w:tcBorders>
              <w:top w:val="nil"/>
              <w:left w:val="nil"/>
              <w:bottom w:val="single" w:sz="4" w:space="0" w:color="auto"/>
              <w:right w:val="single" w:sz="4" w:space="0" w:color="auto"/>
            </w:tcBorders>
            <w:shd w:val="clear" w:color="000000" w:fill="FFFFFF"/>
            <w:noWrap/>
            <w:vAlign w:val="bottom"/>
            <w:hideMark/>
          </w:tcPr>
          <w:p w14:paraId="39A8F8E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0.349</w:t>
            </w:r>
          </w:p>
        </w:tc>
      </w:tr>
      <w:tr w:rsidR="00506E54" w:rsidRPr="002255F7" w14:paraId="5A3DACD5"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73B808A"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55-64</w:t>
            </w:r>
          </w:p>
        </w:tc>
        <w:tc>
          <w:tcPr>
            <w:tcW w:w="655" w:type="dxa"/>
            <w:tcBorders>
              <w:top w:val="nil"/>
              <w:left w:val="nil"/>
              <w:bottom w:val="single" w:sz="4" w:space="0" w:color="auto"/>
              <w:right w:val="single" w:sz="4" w:space="0" w:color="auto"/>
            </w:tcBorders>
            <w:shd w:val="clear" w:color="000000" w:fill="FFFFFF"/>
            <w:noWrap/>
            <w:vAlign w:val="bottom"/>
            <w:hideMark/>
          </w:tcPr>
          <w:p w14:paraId="40BF1EA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-0.216</w:t>
            </w:r>
          </w:p>
        </w:tc>
        <w:tc>
          <w:tcPr>
            <w:tcW w:w="1240" w:type="dxa"/>
            <w:tcBorders>
              <w:top w:val="nil"/>
              <w:left w:val="nil"/>
              <w:bottom w:val="single" w:sz="4" w:space="0" w:color="auto"/>
              <w:right w:val="single" w:sz="4" w:space="0" w:color="auto"/>
            </w:tcBorders>
            <w:shd w:val="clear" w:color="000000" w:fill="FFFFFF"/>
            <w:noWrap/>
            <w:vAlign w:val="bottom"/>
            <w:hideMark/>
          </w:tcPr>
          <w:p w14:paraId="7F08A61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0.197</w:t>
            </w:r>
          </w:p>
        </w:tc>
        <w:tc>
          <w:tcPr>
            <w:tcW w:w="1240" w:type="dxa"/>
            <w:tcBorders>
              <w:top w:val="nil"/>
              <w:left w:val="nil"/>
              <w:bottom w:val="single" w:sz="4" w:space="0" w:color="auto"/>
              <w:right w:val="single" w:sz="4" w:space="0" w:color="auto"/>
            </w:tcBorders>
            <w:shd w:val="clear" w:color="000000" w:fill="FFFFFF"/>
            <w:noWrap/>
            <w:vAlign w:val="bottom"/>
            <w:hideMark/>
          </w:tcPr>
          <w:p w14:paraId="09D8B8F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0.272</w:t>
            </w:r>
          </w:p>
        </w:tc>
      </w:tr>
      <w:tr w:rsidR="00506E54" w:rsidRPr="002255F7" w14:paraId="3E59BC6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0B1C48F0"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75-84</w:t>
            </w:r>
          </w:p>
        </w:tc>
        <w:tc>
          <w:tcPr>
            <w:tcW w:w="655" w:type="dxa"/>
            <w:tcBorders>
              <w:top w:val="nil"/>
              <w:left w:val="nil"/>
              <w:bottom w:val="single" w:sz="4" w:space="0" w:color="auto"/>
              <w:right w:val="single" w:sz="4" w:space="0" w:color="auto"/>
            </w:tcBorders>
            <w:shd w:val="clear" w:color="000000" w:fill="FFFFFF"/>
            <w:noWrap/>
            <w:vAlign w:val="bottom"/>
            <w:hideMark/>
          </w:tcPr>
          <w:p w14:paraId="5726E5B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-0.084</w:t>
            </w:r>
          </w:p>
        </w:tc>
        <w:tc>
          <w:tcPr>
            <w:tcW w:w="1240" w:type="dxa"/>
            <w:tcBorders>
              <w:top w:val="nil"/>
              <w:left w:val="nil"/>
              <w:bottom w:val="single" w:sz="4" w:space="0" w:color="auto"/>
              <w:right w:val="single" w:sz="4" w:space="0" w:color="auto"/>
            </w:tcBorders>
            <w:shd w:val="clear" w:color="000000" w:fill="FFFFFF"/>
            <w:noWrap/>
            <w:vAlign w:val="bottom"/>
            <w:hideMark/>
          </w:tcPr>
          <w:p w14:paraId="0A46B49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0.119</w:t>
            </w:r>
          </w:p>
        </w:tc>
        <w:tc>
          <w:tcPr>
            <w:tcW w:w="1240" w:type="dxa"/>
            <w:tcBorders>
              <w:top w:val="nil"/>
              <w:left w:val="nil"/>
              <w:bottom w:val="single" w:sz="4" w:space="0" w:color="auto"/>
              <w:right w:val="single" w:sz="4" w:space="0" w:color="auto"/>
            </w:tcBorders>
            <w:shd w:val="clear" w:color="000000" w:fill="FFFFFF"/>
            <w:noWrap/>
            <w:vAlign w:val="bottom"/>
            <w:hideMark/>
          </w:tcPr>
          <w:p w14:paraId="558A869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0.484</w:t>
            </w:r>
          </w:p>
        </w:tc>
      </w:tr>
      <w:tr w:rsidR="00506E54" w:rsidRPr="002255F7" w14:paraId="7E7AB1F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139E613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85-90</w:t>
            </w:r>
          </w:p>
        </w:tc>
        <w:tc>
          <w:tcPr>
            <w:tcW w:w="655" w:type="dxa"/>
            <w:tcBorders>
              <w:top w:val="nil"/>
              <w:left w:val="nil"/>
              <w:bottom w:val="single" w:sz="4" w:space="0" w:color="auto"/>
              <w:right w:val="single" w:sz="4" w:space="0" w:color="auto"/>
            </w:tcBorders>
            <w:shd w:val="clear" w:color="000000" w:fill="FFFFFF"/>
            <w:noWrap/>
            <w:vAlign w:val="bottom"/>
            <w:hideMark/>
          </w:tcPr>
          <w:p w14:paraId="3E0436A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w:t>
            </w:r>
          </w:p>
        </w:tc>
        <w:tc>
          <w:tcPr>
            <w:tcW w:w="1240" w:type="dxa"/>
            <w:tcBorders>
              <w:top w:val="nil"/>
              <w:left w:val="nil"/>
              <w:bottom w:val="single" w:sz="4" w:space="0" w:color="auto"/>
              <w:right w:val="single" w:sz="4" w:space="0" w:color="auto"/>
            </w:tcBorders>
            <w:shd w:val="clear" w:color="000000" w:fill="FFFFFF"/>
            <w:noWrap/>
            <w:vAlign w:val="bottom"/>
            <w:hideMark/>
          </w:tcPr>
          <w:p w14:paraId="42B0621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0.128</w:t>
            </w:r>
          </w:p>
        </w:tc>
        <w:tc>
          <w:tcPr>
            <w:tcW w:w="1240" w:type="dxa"/>
            <w:tcBorders>
              <w:top w:val="nil"/>
              <w:left w:val="nil"/>
              <w:bottom w:val="single" w:sz="4" w:space="0" w:color="auto"/>
              <w:right w:val="single" w:sz="4" w:space="0" w:color="auto"/>
            </w:tcBorders>
            <w:shd w:val="clear" w:color="000000" w:fill="FFFFFF"/>
            <w:noWrap/>
            <w:vAlign w:val="bottom"/>
            <w:hideMark/>
          </w:tcPr>
          <w:p w14:paraId="03AF7DD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0.436</w:t>
            </w:r>
          </w:p>
        </w:tc>
      </w:tr>
      <w:tr w:rsidR="00506E54" w:rsidRPr="002255F7" w14:paraId="271F4BB6"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40B0270"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Older than 90</w:t>
            </w:r>
          </w:p>
        </w:tc>
        <w:tc>
          <w:tcPr>
            <w:tcW w:w="655" w:type="dxa"/>
            <w:tcBorders>
              <w:top w:val="nil"/>
              <w:left w:val="nil"/>
              <w:bottom w:val="single" w:sz="4" w:space="0" w:color="auto"/>
              <w:right w:val="single" w:sz="4" w:space="0" w:color="auto"/>
            </w:tcBorders>
            <w:shd w:val="clear" w:color="000000" w:fill="FFFFFF"/>
            <w:noWrap/>
            <w:vAlign w:val="bottom"/>
            <w:hideMark/>
          </w:tcPr>
          <w:p w14:paraId="7569601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-0.399</w:t>
            </w:r>
          </w:p>
        </w:tc>
        <w:tc>
          <w:tcPr>
            <w:tcW w:w="1240" w:type="dxa"/>
            <w:tcBorders>
              <w:top w:val="nil"/>
              <w:left w:val="nil"/>
              <w:bottom w:val="single" w:sz="4" w:space="0" w:color="auto"/>
              <w:right w:val="single" w:sz="4" w:space="0" w:color="auto"/>
            </w:tcBorders>
            <w:shd w:val="clear" w:color="000000" w:fill="FFFFFF"/>
            <w:noWrap/>
            <w:vAlign w:val="bottom"/>
            <w:hideMark/>
          </w:tcPr>
          <w:p w14:paraId="6699728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0.173</w:t>
            </w:r>
          </w:p>
        </w:tc>
        <w:tc>
          <w:tcPr>
            <w:tcW w:w="1240" w:type="dxa"/>
            <w:tcBorders>
              <w:top w:val="nil"/>
              <w:left w:val="nil"/>
              <w:bottom w:val="single" w:sz="4" w:space="0" w:color="auto"/>
              <w:right w:val="single" w:sz="4" w:space="0" w:color="auto"/>
            </w:tcBorders>
            <w:shd w:val="clear" w:color="000000" w:fill="FFFFFF"/>
            <w:noWrap/>
            <w:vAlign w:val="bottom"/>
            <w:hideMark/>
          </w:tcPr>
          <w:p w14:paraId="27CAB8C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0.021</w:t>
            </w:r>
          </w:p>
        </w:tc>
      </w:tr>
      <w:tr w:rsidR="00506E54" w:rsidRPr="002255F7" w14:paraId="36E373EF"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6A85F6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Length of stay: 4-7 days</w:t>
            </w:r>
          </w:p>
        </w:tc>
        <w:tc>
          <w:tcPr>
            <w:tcW w:w="655" w:type="dxa"/>
            <w:tcBorders>
              <w:top w:val="nil"/>
              <w:left w:val="nil"/>
              <w:bottom w:val="single" w:sz="4" w:space="0" w:color="auto"/>
              <w:right w:val="single" w:sz="4" w:space="0" w:color="auto"/>
            </w:tcBorders>
            <w:shd w:val="clear" w:color="000000" w:fill="FFFFFF"/>
            <w:noWrap/>
            <w:vAlign w:val="bottom"/>
            <w:hideMark/>
          </w:tcPr>
          <w:p w14:paraId="3460EDE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-0.059</w:t>
            </w:r>
          </w:p>
        </w:tc>
        <w:tc>
          <w:tcPr>
            <w:tcW w:w="1240" w:type="dxa"/>
            <w:tcBorders>
              <w:top w:val="nil"/>
              <w:left w:val="nil"/>
              <w:bottom w:val="single" w:sz="4" w:space="0" w:color="auto"/>
              <w:right w:val="single" w:sz="4" w:space="0" w:color="auto"/>
            </w:tcBorders>
            <w:shd w:val="clear" w:color="000000" w:fill="FFFFFF"/>
            <w:noWrap/>
            <w:vAlign w:val="bottom"/>
            <w:hideMark/>
          </w:tcPr>
          <w:p w14:paraId="0593779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0.156</w:t>
            </w:r>
          </w:p>
        </w:tc>
        <w:tc>
          <w:tcPr>
            <w:tcW w:w="1240" w:type="dxa"/>
            <w:tcBorders>
              <w:top w:val="nil"/>
              <w:left w:val="nil"/>
              <w:bottom w:val="single" w:sz="4" w:space="0" w:color="auto"/>
              <w:right w:val="single" w:sz="4" w:space="0" w:color="auto"/>
            </w:tcBorders>
            <w:shd w:val="clear" w:color="000000" w:fill="FFFFFF"/>
            <w:noWrap/>
            <w:vAlign w:val="bottom"/>
            <w:hideMark/>
          </w:tcPr>
          <w:p w14:paraId="055F5F9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0.706</w:t>
            </w:r>
          </w:p>
        </w:tc>
      </w:tr>
      <w:tr w:rsidR="00506E54" w:rsidRPr="002255F7" w14:paraId="47240C27"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EE35B42"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Length of stay: 8-14 days</w:t>
            </w:r>
          </w:p>
        </w:tc>
        <w:tc>
          <w:tcPr>
            <w:tcW w:w="655" w:type="dxa"/>
            <w:tcBorders>
              <w:top w:val="nil"/>
              <w:left w:val="nil"/>
              <w:bottom w:val="single" w:sz="4" w:space="0" w:color="auto"/>
              <w:right w:val="single" w:sz="4" w:space="0" w:color="auto"/>
            </w:tcBorders>
            <w:shd w:val="clear" w:color="000000" w:fill="FFFFFF"/>
            <w:noWrap/>
            <w:vAlign w:val="bottom"/>
            <w:hideMark/>
          </w:tcPr>
          <w:p w14:paraId="0330DF1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-0.092</w:t>
            </w:r>
          </w:p>
        </w:tc>
        <w:tc>
          <w:tcPr>
            <w:tcW w:w="1240" w:type="dxa"/>
            <w:tcBorders>
              <w:top w:val="nil"/>
              <w:left w:val="nil"/>
              <w:bottom w:val="single" w:sz="4" w:space="0" w:color="auto"/>
              <w:right w:val="single" w:sz="4" w:space="0" w:color="auto"/>
            </w:tcBorders>
            <w:shd w:val="clear" w:color="000000" w:fill="FFFFFF"/>
            <w:noWrap/>
            <w:vAlign w:val="bottom"/>
            <w:hideMark/>
          </w:tcPr>
          <w:p w14:paraId="04EBA00C"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0.168</w:t>
            </w:r>
          </w:p>
        </w:tc>
        <w:tc>
          <w:tcPr>
            <w:tcW w:w="1240" w:type="dxa"/>
            <w:tcBorders>
              <w:top w:val="nil"/>
              <w:left w:val="nil"/>
              <w:bottom w:val="single" w:sz="4" w:space="0" w:color="auto"/>
              <w:right w:val="single" w:sz="4" w:space="0" w:color="auto"/>
            </w:tcBorders>
            <w:shd w:val="clear" w:color="000000" w:fill="FFFFFF"/>
            <w:noWrap/>
            <w:vAlign w:val="bottom"/>
            <w:hideMark/>
          </w:tcPr>
          <w:p w14:paraId="5E67974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0.584</w:t>
            </w:r>
          </w:p>
        </w:tc>
      </w:tr>
      <w:tr w:rsidR="00506E54" w:rsidRPr="002255F7" w14:paraId="5FD915AF"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CF2FEA5"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Length of stay: 15+ days</w:t>
            </w:r>
          </w:p>
        </w:tc>
        <w:tc>
          <w:tcPr>
            <w:tcW w:w="655" w:type="dxa"/>
            <w:tcBorders>
              <w:top w:val="nil"/>
              <w:left w:val="nil"/>
              <w:bottom w:val="single" w:sz="4" w:space="0" w:color="auto"/>
              <w:right w:val="single" w:sz="4" w:space="0" w:color="auto"/>
            </w:tcBorders>
            <w:shd w:val="clear" w:color="000000" w:fill="FFFFFF"/>
            <w:noWrap/>
            <w:vAlign w:val="bottom"/>
            <w:hideMark/>
          </w:tcPr>
          <w:p w14:paraId="211FEEE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-0.072</w:t>
            </w:r>
          </w:p>
        </w:tc>
        <w:tc>
          <w:tcPr>
            <w:tcW w:w="1240" w:type="dxa"/>
            <w:tcBorders>
              <w:top w:val="nil"/>
              <w:left w:val="nil"/>
              <w:bottom w:val="single" w:sz="4" w:space="0" w:color="auto"/>
              <w:right w:val="single" w:sz="4" w:space="0" w:color="auto"/>
            </w:tcBorders>
            <w:shd w:val="clear" w:color="000000" w:fill="FFFFFF"/>
            <w:noWrap/>
            <w:vAlign w:val="bottom"/>
            <w:hideMark/>
          </w:tcPr>
          <w:p w14:paraId="611D3AD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0.177</w:t>
            </w:r>
          </w:p>
        </w:tc>
        <w:tc>
          <w:tcPr>
            <w:tcW w:w="1240" w:type="dxa"/>
            <w:tcBorders>
              <w:top w:val="nil"/>
              <w:left w:val="nil"/>
              <w:bottom w:val="single" w:sz="4" w:space="0" w:color="auto"/>
              <w:right w:val="single" w:sz="4" w:space="0" w:color="auto"/>
            </w:tcBorders>
            <w:shd w:val="clear" w:color="000000" w:fill="FFFFFF"/>
            <w:noWrap/>
            <w:vAlign w:val="bottom"/>
            <w:hideMark/>
          </w:tcPr>
          <w:p w14:paraId="3967D81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0.683</w:t>
            </w:r>
          </w:p>
        </w:tc>
      </w:tr>
      <w:tr w:rsidR="00506E54" w:rsidRPr="002255F7" w14:paraId="67B37E10"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2621D10A"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Stroke</w:t>
            </w:r>
          </w:p>
        </w:tc>
        <w:tc>
          <w:tcPr>
            <w:tcW w:w="655" w:type="dxa"/>
            <w:tcBorders>
              <w:top w:val="nil"/>
              <w:left w:val="nil"/>
              <w:bottom w:val="single" w:sz="4" w:space="0" w:color="auto"/>
              <w:right w:val="single" w:sz="4" w:space="0" w:color="auto"/>
            </w:tcBorders>
            <w:shd w:val="clear" w:color="000000" w:fill="FFFFFF"/>
            <w:noWrap/>
            <w:vAlign w:val="bottom"/>
            <w:hideMark/>
          </w:tcPr>
          <w:p w14:paraId="7A5D26C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0.099</w:t>
            </w:r>
          </w:p>
        </w:tc>
        <w:tc>
          <w:tcPr>
            <w:tcW w:w="1240" w:type="dxa"/>
            <w:tcBorders>
              <w:top w:val="nil"/>
              <w:left w:val="nil"/>
              <w:bottom w:val="single" w:sz="4" w:space="0" w:color="auto"/>
              <w:right w:val="single" w:sz="4" w:space="0" w:color="auto"/>
            </w:tcBorders>
            <w:shd w:val="clear" w:color="000000" w:fill="FFFFFF"/>
            <w:noWrap/>
            <w:vAlign w:val="bottom"/>
            <w:hideMark/>
          </w:tcPr>
          <w:p w14:paraId="62A5785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0.301</w:t>
            </w:r>
          </w:p>
        </w:tc>
        <w:tc>
          <w:tcPr>
            <w:tcW w:w="1240" w:type="dxa"/>
            <w:tcBorders>
              <w:top w:val="nil"/>
              <w:left w:val="nil"/>
              <w:bottom w:val="single" w:sz="4" w:space="0" w:color="auto"/>
              <w:right w:val="single" w:sz="4" w:space="0" w:color="auto"/>
            </w:tcBorders>
            <w:shd w:val="clear" w:color="000000" w:fill="FFFFFF"/>
            <w:noWrap/>
            <w:vAlign w:val="bottom"/>
            <w:hideMark/>
          </w:tcPr>
          <w:p w14:paraId="01063F3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0.742</w:t>
            </w:r>
          </w:p>
        </w:tc>
      </w:tr>
      <w:tr w:rsidR="00506E54" w:rsidRPr="002255F7" w14:paraId="5DB2931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BF8134A"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Non-traumatic brain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2708DD4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1.254</w:t>
            </w:r>
          </w:p>
        </w:tc>
        <w:tc>
          <w:tcPr>
            <w:tcW w:w="1240" w:type="dxa"/>
            <w:tcBorders>
              <w:top w:val="nil"/>
              <w:left w:val="nil"/>
              <w:bottom w:val="single" w:sz="4" w:space="0" w:color="auto"/>
              <w:right w:val="single" w:sz="4" w:space="0" w:color="auto"/>
            </w:tcBorders>
            <w:shd w:val="clear" w:color="000000" w:fill="FFFFFF"/>
            <w:noWrap/>
            <w:vAlign w:val="bottom"/>
            <w:hideMark/>
          </w:tcPr>
          <w:p w14:paraId="1A1D5C6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0.571</w:t>
            </w:r>
          </w:p>
        </w:tc>
        <w:tc>
          <w:tcPr>
            <w:tcW w:w="1240" w:type="dxa"/>
            <w:tcBorders>
              <w:top w:val="nil"/>
              <w:left w:val="nil"/>
              <w:bottom w:val="single" w:sz="4" w:space="0" w:color="auto"/>
              <w:right w:val="single" w:sz="4" w:space="0" w:color="auto"/>
            </w:tcBorders>
            <w:shd w:val="clear" w:color="000000" w:fill="FFFFFF"/>
            <w:noWrap/>
            <w:vAlign w:val="bottom"/>
            <w:hideMark/>
          </w:tcPr>
          <w:p w14:paraId="736DFDE8"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0.028</w:t>
            </w:r>
          </w:p>
        </w:tc>
      </w:tr>
      <w:tr w:rsidR="00506E54" w:rsidRPr="002255F7" w14:paraId="337A791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26C26D51"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Traumatic brain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0BE89598"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-0.356</w:t>
            </w:r>
          </w:p>
        </w:tc>
        <w:tc>
          <w:tcPr>
            <w:tcW w:w="1240" w:type="dxa"/>
            <w:tcBorders>
              <w:top w:val="nil"/>
              <w:left w:val="nil"/>
              <w:bottom w:val="single" w:sz="4" w:space="0" w:color="auto"/>
              <w:right w:val="single" w:sz="4" w:space="0" w:color="auto"/>
            </w:tcBorders>
            <w:shd w:val="clear" w:color="000000" w:fill="FFFFFF"/>
            <w:noWrap/>
            <w:vAlign w:val="bottom"/>
            <w:hideMark/>
          </w:tcPr>
          <w:p w14:paraId="74BFA18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0.758</w:t>
            </w:r>
          </w:p>
        </w:tc>
        <w:tc>
          <w:tcPr>
            <w:tcW w:w="1240" w:type="dxa"/>
            <w:tcBorders>
              <w:top w:val="nil"/>
              <w:left w:val="nil"/>
              <w:bottom w:val="single" w:sz="4" w:space="0" w:color="auto"/>
              <w:right w:val="single" w:sz="4" w:space="0" w:color="auto"/>
            </w:tcBorders>
            <w:shd w:val="clear" w:color="000000" w:fill="FFFFFF"/>
            <w:noWrap/>
            <w:vAlign w:val="bottom"/>
            <w:hideMark/>
          </w:tcPr>
          <w:p w14:paraId="76A5033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0.639</w:t>
            </w:r>
          </w:p>
        </w:tc>
      </w:tr>
      <w:tr w:rsidR="00506E54" w:rsidRPr="002255F7" w14:paraId="2BA83C29"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C84C5F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Non-traumatic spinal cord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0CAB87A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-1.278</w:t>
            </w:r>
          </w:p>
        </w:tc>
        <w:tc>
          <w:tcPr>
            <w:tcW w:w="1240" w:type="dxa"/>
            <w:tcBorders>
              <w:top w:val="nil"/>
              <w:left w:val="nil"/>
              <w:bottom w:val="single" w:sz="4" w:space="0" w:color="auto"/>
              <w:right w:val="single" w:sz="4" w:space="0" w:color="auto"/>
            </w:tcBorders>
            <w:shd w:val="clear" w:color="000000" w:fill="FFFFFF"/>
            <w:noWrap/>
            <w:vAlign w:val="bottom"/>
            <w:hideMark/>
          </w:tcPr>
          <w:p w14:paraId="2B809D8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1.172</w:t>
            </w:r>
          </w:p>
        </w:tc>
        <w:tc>
          <w:tcPr>
            <w:tcW w:w="1240" w:type="dxa"/>
            <w:tcBorders>
              <w:top w:val="nil"/>
              <w:left w:val="nil"/>
              <w:bottom w:val="single" w:sz="4" w:space="0" w:color="auto"/>
              <w:right w:val="single" w:sz="4" w:space="0" w:color="auto"/>
            </w:tcBorders>
            <w:shd w:val="clear" w:color="000000" w:fill="FFFFFF"/>
            <w:noWrap/>
            <w:vAlign w:val="bottom"/>
            <w:hideMark/>
          </w:tcPr>
          <w:p w14:paraId="002878A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0.275</w:t>
            </w:r>
          </w:p>
        </w:tc>
      </w:tr>
      <w:tr w:rsidR="00506E54" w:rsidRPr="002255F7" w14:paraId="091B2AB1"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018C6E9"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Traumatic spinal cord dysfunction</w:t>
            </w:r>
          </w:p>
        </w:tc>
        <w:tc>
          <w:tcPr>
            <w:tcW w:w="655" w:type="dxa"/>
            <w:tcBorders>
              <w:top w:val="nil"/>
              <w:left w:val="nil"/>
              <w:bottom w:val="single" w:sz="4" w:space="0" w:color="auto"/>
              <w:right w:val="single" w:sz="4" w:space="0" w:color="auto"/>
            </w:tcBorders>
            <w:shd w:val="clear" w:color="000000" w:fill="FFFFFF"/>
            <w:noWrap/>
            <w:vAlign w:val="bottom"/>
            <w:hideMark/>
          </w:tcPr>
          <w:p w14:paraId="0193D4F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-8.196</w:t>
            </w:r>
          </w:p>
        </w:tc>
        <w:tc>
          <w:tcPr>
            <w:tcW w:w="1240" w:type="dxa"/>
            <w:tcBorders>
              <w:top w:val="nil"/>
              <w:left w:val="nil"/>
              <w:bottom w:val="single" w:sz="4" w:space="0" w:color="auto"/>
              <w:right w:val="single" w:sz="4" w:space="0" w:color="auto"/>
            </w:tcBorders>
            <w:shd w:val="clear" w:color="000000" w:fill="FFFFFF"/>
            <w:noWrap/>
            <w:vAlign w:val="bottom"/>
            <w:hideMark/>
          </w:tcPr>
          <w:p w14:paraId="1F5D554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5.544</w:t>
            </w:r>
          </w:p>
        </w:tc>
        <w:tc>
          <w:tcPr>
            <w:tcW w:w="1240" w:type="dxa"/>
            <w:tcBorders>
              <w:top w:val="nil"/>
              <w:left w:val="nil"/>
              <w:bottom w:val="single" w:sz="4" w:space="0" w:color="auto"/>
              <w:right w:val="single" w:sz="4" w:space="0" w:color="auto"/>
            </w:tcBorders>
            <w:shd w:val="clear" w:color="000000" w:fill="FFFFFF"/>
            <w:noWrap/>
            <w:vAlign w:val="bottom"/>
            <w:hideMark/>
          </w:tcPr>
          <w:p w14:paraId="5A9E61C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0.139</w:t>
            </w:r>
          </w:p>
        </w:tc>
      </w:tr>
      <w:tr w:rsidR="00506E54" w:rsidRPr="002255F7" w14:paraId="0887300D"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241740E"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Progressive neurological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540E404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0.386</w:t>
            </w:r>
          </w:p>
        </w:tc>
        <w:tc>
          <w:tcPr>
            <w:tcW w:w="1240" w:type="dxa"/>
            <w:tcBorders>
              <w:top w:val="nil"/>
              <w:left w:val="nil"/>
              <w:bottom w:val="single" w:sz="4" w:space="0" w:color="auto"/>
              <w:right w:val="single" w:sz="4" w:space="0" w:color="auto"/>
            </w:tcBorders>
            <w:shd w:val="clear" w:color="000000" w:fill="FFFFFF"/>
            <w:noWrap/>
            <w:vAlign w:val="bottom"/>
            <w:hideMark/>
          </w:tcPr>
          <w:p w14:paraId="41C50C7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0.527</w:t>
            </w:r>
          </w:p>
        </w:tc>
        <w:tc>
          <w:tcPr>
            <w:tcW w:w="1240" w:type="dxa"/>
            <w:tcBorders>
              <w:top w:val="nil"/>
              <w:left w:val="nil"/>
              <w:bottom w:val="single" w:sz="4" w:space="0" w:color="auto"/>
              <w:right w:val="single" w:sz="4" w:space="0" w:color="auto"/>
            </w:tcBorders>
            <w:shd w:val="clear" w:color="000000" w:fill="FFFFFF"/>
            <w:noWrap/>
            <w:vAlign w:val="bottom"/>
            <w:hideMark/>
          </w:tcPr>
          <w:p w14:paraId="3F7BB97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0.463</w:t>
            </w:r>
          </w:p>
        </w:tc>
      </w:tr>
      <w:tr w:rsidR="00506E54" w:rsidRPr="002255F7" w14:paraId="2D09148B"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454B1513"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Other neurological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6C74562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-0.418</w:t>
            </w:r>
          </w:p>
        </w:tc>
        <w:tc>
          <w:tcPr>
            <w:tcW w:w="1240" w:type="dxa"/>
            <w:tcBorders>
              <w:top w:val="nil"/>
              <w:left w:val="nil"/>
              <w:bottom w:val="single" w:sz="4" w:space="0" w:color="auto"/>
              <w:right w:val="single" w:sz="4" w:space="0" w:color="auto"/>
            </w:tcBorders>
            <w:shd w:val="clear" w:color="000000" w:fill="FFFFFF"/>
            <w:noWrap/>
            <w:vAlign w:val="bottom"/>
            <w:hideMark/>
          </w:tcPr>
          <w:p w14:paraId="46196D8F"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0.584</w:t>
            </w:r>
          </w:p>
        </w:tc>
        <w:tc>
          <w:tcPr>
            <w:tcW w:w="1240" w:type="dxa"/>
            <w:tcBorders>
              <w:top w:val="nil"/>
              <w:left w:val="nil"/>
              <w:bottom w:val="single" w:sz="4" w:space="0" w:color="auto"/>
              <w:right w:val="single" w:sz="4" w:space="0" w:color="auto"/>
            </w:tcBorders>
            <w:shd w:val="clear" w:color="000000" w:fill="FFFFFF"/>
            <w:noWrap/>
            <w:vAlign w:val="bottom"/>
            <w:hideMark/>
          </w:tcPr>
          <w:p w14:paraId="588CCFB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0.475</w:t>
            </w:r>
          </w:p>
        </w:tc>
      </w:tr>
      <w:tr w:rsidR="00506E54" w:rsidRPr="002255F7" w14:paraId="6AB2D8A0"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065DE6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Fractures and other multiple trauma</w:t>
            </w:r>
          </w:p>
        </w:tc>
        <w:tc>
          <w:tcPr>
            <w:tcW w:w="655" w:type="dxa"/>
            <w:tcBorders>
              <w:top w:val="nil"/>
              <w:left w:val="nil"/>
              <w:bottom w:val="single" w:sz="4" w:space="0" w:color="auto"/>
              <w:right w:val="single" w:sz="4" w:space="0" w:color="auto"/>
            </w:tcBorders>
            <w:shd w:val="clear" w:color="000000" w:fill="FFFFFF"/>
            <w:noWrap/>
            <w:vAlign w:val="bottom"/>
            <w:hideMark/>
          </w:tcPr>
          <w:p w14:paraId="6F12015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-0.683</w:t>
            </w:r>
          </w:p>
        </w:tc>
        <w:tc>
          <w:tcPr>
            <w:tcW w:w="1240" w:type="dxa"/>
            <w:tcBorders>
              <w:top w:val="nil"/>
              <w:left w:val="nil"/>
              <w:bottom w:val="single" w:sz="4" w:space="0" w:color="auto"/>
              <w:right w:val="single" w:sz="4" w:space="0" w:color="auto"/>
            </w:tcBorders>
            <w:shd w:val="clear" w:color="000000" w:fill="FFFFFF"/>
            <w:noWrap/>
            <w:vAlign w:val="bottom"/>
            <w:hideMark/>
          </w:tcPr>
          <w:p w14:paraId="20C9497C"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0.157</w:t>
            </w:r>
          </w:p>
        </w:tc>
        <w:tc>
          <w:tcPr>
            <w:tcW w:w="1240" w:type="dxa"/>
            <w:tcBorders>
              <w:top w:val="nil"/>
              <w:left w:val="nil"/>
              <w:bottom w:val="single" w:sz="4" w:space="0" w:color="auto"/>
              <w:right w:val="single" w:sz="4" w:space="0" w:color="auto"/>
            </w:tcBorders>
            <w:shd w:val="clear" w:color="000000" w:fill="FFFFFF"/>
            <w:noWrap/>
            <w:vAlign w:val="bottom"/>
            <w:hideMark/>
          </w:tcPr>
          <w:p w14:paraId="6514D16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r>
      <w:tr w:rsidR="00506E54" w:rsidRPr="002255F7" w14:paraId="00AD025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A2D5B66"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Amputation</w:t>
            </w:r>
          </w:p>
        </w:tc>
        <w:tc>
          <w:tcPr>
            <w:tcW w:w="655" w:type="dxa"/>
            <w:tcBorders>
              <w:top w:val="nil"/>
              <w:left w:val="nil"/>
              <w:bottom w:val="single" w:sz="4" w:space="0" w:color="auto"/>
              <w:right w:val="single" w:sz="4" w:space="0" w:color="auto"/>
            </w:tcBorders>
            <w:shd w:val="clear" w:color="000000" w:fill="FFFFFF"/>
            <w:noWrap/>
            <w:vAlign w:val="bottom"/>
            <w:hideMark/>
          </w:tcPr>
          <w:p w14:paraId="691839C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0.189</w:t>
            </w:r>
          </w:p>
        </w:tc>
        <w:tc>
          <w:tcPr>
            <w:tcW w:w="1240" w:type="dxa"/>
            <w:tcBorders>
              <w:top w:val="nil"/>
              <w:left w:val="nil"/>
              <w:bottom w:val="single" w:sz="4" w:space="0" w:color="auto"/>
              <w:right w:val="single" w:sz="4" w:space="0" w:color="auto"/>
            </w:tcBorders>
            <w:shd w:val="clear" w:color="000000" w:fill="FFFFFF"/>
            <w:noWrap/>
            <w:vAlign w:val="bottom"/>
            <w:hideMark/>
          </w:tcPr>
          <w:p w14:paraId="616CC248"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0.417</w:t>
            </w:r>
          </w:p>
        </w:tc>
        <w:tc>
          <w:tcPr>
            <w:tcW w:w="1240" w:type="dxa"/>
            <w:tcBorders>
              <w:top w:val="nil"/>
              <w:left w:val="nil"/>
              <w:bottom w:val="single" w:sz="4" w:space="0" w:color="auto"/>
              <w:right w:val="single" w:sz="4" w:space="0" w:color="auto"/>
            </w:tcBorders>
            <w:shd w:val="clear" w:color="000000" w:fill="FFFFFF"/>
            <w:noWrap/>
            <w:vAlign w:val="bottom"/>
            <w:hideMark/>
          </w:tcPr>
          <w:p w14:paraId="2466393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0.651</w:t>
            </w:r>
          </w:p>
        </w:tc>
      </w:tr>
      <w:tr w:rsidR="00506E54" w:rsidRPr="002255F7" w14:paraId="214B1C8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0840836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Other orthopedic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2DFDC33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-0.049</w:t>
            </w:r>
          </w:p>
        </w:tc>
        <w:tc>
          <w:tcPr>
            <w:tcW w:w="1240" w:type="dxa"/>
            <w:tcBorders>
              <w:top w:val="nil"/>
              <w:left w:val="nil"/>
              <w:bottom w:val="single" w:sz="4" w:space="0" w:color="auto"/>
              <w:right w:val="single" w:sz="4" w:space="0" w:color="auto"/>
            </w:tcBorders>
            <w:shd w:val="clear" w:color="000000" w:fill="FFFFFF"/>
            <w:noWrap/>
            <w:vAlign w:val="bottom"/>
            <w:hideMark/>
          </w:tcPr>
          <w:p w14:paraId="7B35D35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0.184</w:t>
            </w:r>
          </w:p>
        </w:tc>
        <w:tc>
          <w:tcPr>
            <w:tcW w:w="1240" w:type="dxa"/>
            <w:tcBorders>
              <w:top w:val="nil"/>
              <w:left w:val="nil"/>
              <w:bottom w:val="single" w:sz="4" w:space="0" w:color="auto"/>
              <w:right w:val="single" w:sz="4" w:space="0" w:color="auto"/>
            </w:tcBorders>
            <w:shd w:val="clear" w:color="000000" w:fill="FFFFFF"/>
            <w:noWrap/>
            <w:vAlign w:val="bottom"/>
            <w:hideMark/>
          </w:tcPr>
          <w:p w14:paraId="5AF9194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0.788</w:t>
            </w:r>
          </w:p>
        </w:tc>
      </w:tr>
      <w:tr w:rsidR="00506E54" w:rsidRPr="002255F7" w14:paraId="4691C86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992EE57"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Debility, cardiorespiratory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74CE646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0.207</w:t>
            </w:r>
          </w:p>
        </w:tc>
        <w:tc>
          <w:tcPr>
            <w:tcW w:w="1240" w:type="dxa"/>
            <w:tcBorders>
              <w:top w:val="nil"/>
              <w:left w:val="nil"/>
              <w:bottom w:val="single" w:sz="4" w:space="0" w:color="auto"/>
              <w:right w:val="single" w:sz="4" w:space="0" w:color="auto"/>
            </w:tcBorders>
            <w:shd w:val="clear" w:color="000000" w:fill="FFFFFF"/>
            <w:noWrap/>
            <w:vAlign w:val="bottom"/>
            <w:hideMark/>
          </w:tcPr>
          <w:p w14:paraId="2CEDE93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0.118</w:t>
            </w:r>
          </w:p>
        </w:tc>
        <w:tc>
          <w:tcPr>
            <w:tcW w:w="1240" w:type="dxa"/>
            <w:tcBorders>
              <w:top w:val="nil"/>
              <w:left w:val="nil"/>
              <w:bottom w:val="single" w:sz="4" w:space="0" w:color="auto"/>
              <w:right w:val="single" w:sz="4" w:space="0" w:color="auto"/>
            </w:tcBorders>
            <w:shd w:val="clear" w:color="000000" w:fill="FFFFFF"/>
            <w:noWrap/>
            <w:vAlign w:val="bottom"/>
            <w:hideMark/>
          </w:tcPr>
          <w:p w14:paraId="3E18556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0.08</w:t>
            </w:r>
          </w:p>
        </w:tc>
      </w:tr>
      <w:tr w:rsidR="00506E54" w:rsidRPr="002255F7" w14:paraId="4AE6439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1C306A4"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Primary diagnosis: Medically complex conditions</w:t>
            </w:r>
          </w:p>
        </w:tc>
        <w:tc>
          <w:tcPr>
            <w:tcW w:w="655" w:type="dxa"/>
            <w:tcBorders>
              <w:top w:val="nil"/>
              <w:left w:val="nil"/>
              <w:bottom w:val="single" w:sz="4" w:space="0" w:color="auto"/>
              <w:right w:val="single" w:sz="4" w:space="0" w:color="auto"/>
            </w:tcBorders>
            <w:shd w:val="clear" w:color="000000" w:fill="FFFFFF"/>
            <w:noWrap/>
            <w:vAlign w:val="bottom"/>
            <w:hideMark/>
          </w:tcPr>
          <w:p w14:paraId="11E2A3E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0.295</w:t>
            </w:r>
          </w:p>
        </w:tc>
        <w:tc>
          <w:tcPr>
            <w:tcW w:w="1240" w:type="dxa"/>
            <w:tcBorders>
              <w:top w:val="nil"/>
              <w:left w:val="nil"/>
              <w:bottom w:val="single" w:sz="4" w:space="0" w:color="auto"/>
              <w:right w:val="single" w:sz="4" w:space="0" w:color="auto"/>
            </w:tcBorders>
            <w:shd w:val="clear" w:color="000000" w:fill="FFFFFF"/>
            <w:noWrap/>
            <w:vAlign w:val="bottom"/>
            <w:hideMark/>
          </w:tcPr>
          <w:p w14:paraId="3EB5FAE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0.131</w:t>
            </w:r>
          </w:p>
        </w:tc>
        <w:tc>
          <w:tcPr>
            <w:tcW w:w="1240" w:type="dxa"/>
            <w:tcBorders>
              <w:top w:val="nil"/>
              <w:left w:val="nil"/>
              <w:bottom w:val="single" w:sz="4" w:space="0" w:color="auto"/>
              <w:right w:val="single" w:sz="4" w:space="0" w:color="auto"/>
            </w:tcBorders>
            <w:shd w:val="clear" w:color="000000" w:fill="FFFFFF"/>
            <w:noWrap/>
            <w:vAlign w:val="bottom"/>
            <w:hideMark/>
          </w:tcPr>
          <w:p w14:paraId="6668508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0.025</w:t>
            </w:r>
          </w:p>
        </w:tc>
      </w:tr>
      <w:tr w:rsidR="00506E54" w:rsidRPr="002255F7" w14:paraId="0D2BA3C4"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7EBC4EB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Metastatic cancer and acute leukemia</w:t>
            </w:r>
          </w:p>
        </w:tc>
        <w:tc>
          <w:tcPr>
            <w:tcW w:w="655" w:type="dxa"/>
            <w:tcBorders>
              <w:top w:val="nil"/>
              <w:left w:val="nil"/>
              <w:bottom w:val="single" w:sz="4" w:space="0" w:color="auto"/>
              <w:right w:val="single" w:sz="4" w:space="0" w:color="auto"/>
            </w:tcBorders>
            <w:shd w:val="clear" w:color="000000" w:fill="FFFFFF"/>
            <w:noWrap/>
            <w:vAlign w:val="bottom"/>
            <w:hideMark/>
          </w:tcPr>
          <w:p w14:paraId="1925F37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0.335</w:t>
            </w:r>
          </w:p>
        </w:tc>
        <w:tc>
          <w:tcPr>
            <w:tcW w:w="1240" w:type="dxa"/>
            <w:tcBorders>
              <w:top w:val="nil"/>
              <w:left w:val="nil"/>
              <w:bottom w:val="single" w:sz="4" w:space="0" w:color="auto"/>
              <w:right w:val="single" w:sz="4" w:space="0" w:color="auto"/>
            </w:tcBorders>
            <w:shd w:val="clear" w:color="000000" w:fill="FFFFFF"/>
            <w:noWrap/>
            <w:vAlign w:val="bottom"/>
            <w:hideMark/>
          </w:tcPr>
          <w:p w14:paraId="5FFAF73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0.238</w:t>
            </w:r>
          </w:p>
        </w:tc>
        <w:tc>
          <w:tcPr>
            <w:tcW w:w="1240" w:type="dxa"/>
            <w:tcBorders>
              <w:top w:val="nil"/>
              <w:left w:val="nil"/>
              <w:bottom w:val="single" w:sz="4" w:space="0" w:color="auto"/>
              <w:right w:val="single" w:sz="4" w:space="0" w:color="auto"/>
            </w:tcBorders>
            <w:shd w:val="clear" w:color="000000" w:fill="FFFFFF"/>
            <w:noWrap/>
            <w:vAlign w:val="bottom"/>
            <w:hideMark/>
          </w:tcPr>
          <w:p w14:paraId="39EB265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0.159</w:t>
            </w:r>
          </w:p>
        </w:tc>
      </w:tr>
      <w:tr w:rsidR="00506E54" w:rsidRPr="002255F7" w14:paraId="11872AF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E3651D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Diabetes</w:t>
            </w:r>
          </w:p>
        </w:tc>
        <w:tc>
          <w:tcPr>
            <w:tcW w:w="655" w:type="dxa"/>
            <w:tcBorders>
              <w:top w:val="nil"/>
              <w:left w:val="nil"/>
              <w:bottom w:val="single" w:sz="4" w:space="0" w:color="auto"/>
              <w:right w:val="single" w:sz="4" w:space="0" w:color="auto"/>
            </w:tcBorders>
            <w:shd w:val="clear" w:color="000000" w:fill="FFFFFF"/>
            <w:noWrap/>
            <w:vAlign w:val="bottom"/>
            <w:hideMark/>
          </w:tcPr>
          <w:p w14:paraId="64EEBBC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0.012</w:t>
            </w:r>
          </w:p>
        </w:tc>
        <w:tc>
          <w:tcPr>
            <w:tcW w:w="1240" w:type="dxa"/>
            <w:tcBorders>
              <w:top w:val="nil"/>
              <w:left w:val="nil"/>
              <w:bottom w:val="single" w:sz="4" w:space="0" w:color="auto"/>
              <w:right w:val="single" w:sz="4" w:space="0" w:color="auto"/>
            </w:tcBorders>
            <w:shd w:val="clear" w:color="000000" w:fill="FFFFFF"/>
            <w:noWrap/>
            <w:vAlign w:val="bottom"/>
            <w:hideMark/>
          </w:tcPr>
          <w:p w14:paraId="35A6F29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0.098</w:t>
            </w:r>
          </w:p>
        </w:tc>
        <w:tc>
          <w:tcPr>
            <w:tcW w:w="1240" w:type="dxa"/>
            <w:tcBorders>
              <w:top w:val="nil"/>
              <w:left w:val="nil"/>
              <w:bottom w:val="single" w:sz="4" w:space="0" w:color="auto"/>
              <w:right w:val="single" w:sz="4" w:space="0" w:color="auto"/>
            </w:tcBorders>
            <w:shd w:val="clear" w:color="000000" w:fill="FFFFFF"/>
            <w:noWrap/>
            <w:vAlign w:val="bottom"/>
            <w:hideMark/>
          </w:tcPr>
          <w:p w14:paraId="60B4C21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0.902</w:t>
            </w:r>
          </w:p>
        </w:tc>
      </w:tr>
      <w:tr w:rsidR="00506E54" w:rsidRPr="002255F7" w14:paraId="59EFAE75"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86FE5"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Dialysis status and chronic kidney disease stage 5</w:t>
            </w:r>
          </w:p>
        </w:tc>
        <w:tc>
          <w:tcPr>
            <w:tcW w:w="655" w:type="dxa"/>
            <w:tcBorders>
              <w:top w:val="single" w:sz="4" w:space="0" w:color="auto"/>
              <w:left w:val="nil"/>
              <w:bottom w:val="single" w:sz="4" w:space="0" w:color="auto"/>
              <w:right w:val="single" w:sz="4" w:space="0" w:color="auto"/>
            </w:tcBorders>
            <w:shd w:val="clear" w:color="000000" w:fill="FFFFFF"/>
            <w:noWrap/>
            <w:vAlign w:val="bottom"/>
            <w:hideMark/>
          </w:tcPr>
          <w:p w14:paraId="52396B1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0.348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FCD8B4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B65C2D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0.021</w:t>
            </w:r>
          </w:p>
        </w:tc>
      </w:tr>
      <w:tr w:rsidR="00506E54" w:rsidRPr="002255F7" w14:paraId="5B82AC9B"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492D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Hemiplegia, other late effects of cerebrovascular accident</w:t>
            </w:r>
          </w:p>
        </w:tc>
        <w:tc>
          <w:tcPr>
            <w:tcW w:w="6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836315"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7CEFF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0E168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0.86</w:t>
            </w:r>
          </w:p>
        </w:tc>
      </w:tr>
      <w:tr w:rsidR="00506E54" w:rsidRPr="002255F7" w14:paraId="133037A0" w14:textId="77777777" w:rsidTr="00E7716C">
        <w:trPr>
          <w:trHeight w:val="290"/>
        </w:trPr>
        <w:tc>
          <w:tcPr>
            <w:tcW w:w="7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248A74"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Dementia</w:t>
            </w:r>
          </w:p>
        </w:tc>
        <w:tc>
          <w:tcPr>
            <w:tcW w:w="655" w:type="dxa"/>
            <w:tcBorders>
              <w:top w:val="single" w:sz="4" w:space="0" w:color="auto"/>
              <w:left w:val="nil"/>
              <w:bottom w:val="single" w:sz="4" w:space="0" w:color="auto"/>
              <w:right w:val="single" w:sz="4" w:space="0" w:color="auto"/>
            </w:tcBorders>
            <w:shd w:val="clear" w:color="000000" w:fill="FFFFFF"/>
            <w:noWrap/>
            <w:vAlign w:val="bottom"/>
            <w:hideMark/>
          </w:tcPr>
          <w:p w14:paraId="77E05D4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-0.033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568590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0.16</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F2BED0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0.837</w:t>
            </w:r>
          </w:p>
        </w:tc>
      </w:tr>
      <w:tr w:rsidR="00506E54" w:rsidRPr="002255F7" w14:paraId="1AEB962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BD2BD0F"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Comorbidity: Pressure ulcer (Stage 2,3,4, or unstageable)</w:t>
            </w:r>
          </w:p>
        </w:tc>
        <w:tc>
          <w:tcPr>
            <w:tcW w:w="655" w:type="dxa"/>
            <w:tcBorders>
              <w:top w:val="nil"/>
              <w:left w:val="nil"/>
              <w:bottom w:val="single" w:sz="4" w:space="0" w:color="auto"/>
              <w:right w:val="single" w:sz="4" w:space="0" w:color="auto"/>
            </w:tcBorders>
            <w:shd w:val="clear" w:color="000000" w:fill="FFFFFF"/>
            <w:noWrap/>
            <w:vAlign w:val="bottom"/>
            <w:hideMark/>
          </w:tcPr>
          <w:p w14:paraId="1EABAA5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0.303</w:t>
            </w:r>
          </w:p>
        </w:tc>
        <w:tc>
          <w:tcPr>
            <w:tcW w:w="1240" w:type="dxa"/>
            <w:tcBorders>
              <w:top w:val="nil"/>
              <w:left w:val="nil"/>
              <w:bottom w:val="single" w:sz="4" w:space="0" w:color="auto"/>
              <w:right w:val="single" w:sz="4" w:space="0" w:color="auto"/>
            </w:tcBorders>
            <w:shd w:val="clear" w:color="000000" w:fill="FFFFFF"/>
            <w:noWrap/>
            <w:vAlign w:val="bottom"/>
            <w:hideMark/>
          </w:tcPr>
          <w:p w14:paraId="3AB18BF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0.155</w:t>
            </w:r>
          </w:p>
        </w:tc>
        <w:tc>
          <w:tcPr>
            <w:tcW w:w="1240" w:type="dxa"/>
            <w:tcBorders>
              <w:top w:val="nil"/>
              <w:left w:val="nil"/>
              <w:bottom w:val="single" w:sz="4" w:space="0" w:color="auto"/>
              <w:right w:val="single" w:sz="4" w:space="0" w:color="auto"/>
            </w:tcBorders>
            <w:shd w:val="clear" w:color="000000" w:fill="FFFFFF"/>
            <w:noWrap/>
            <w:vAlign w:val="bottom"/>
            <w:hideMark/>
          </w:tcPr>
          <w:p w14:paraId="48525DF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w:t>
            </w:r>
          </w:p>
        </w:tc>
      </w:tr>
      <w:tr w:rsidR="00506E54" w:rsidRPr="002255F7" w14:paraId="319925A9"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AEC7D0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Makes self understood - Rarely/Never</w:t>
            </w:r>
          </w:p>
        </w:tc>
        <w:tc>
          <w:tcPr>
            <w:tcW w:w="655" w:type="dxa"/>
            <w:tcBorders>
              <w:top w:val="nil"/>
              <w:left w:val="nil"/>
              <w:bottom w:val="single" w:sz="4" w:space="0" w:color="auto"/>
              <w:right w:val="single" w:sz="4" w:space="0" w:color="auto"/>
            </w:tcBorders>
            <w:shd w:val="clear" w:color="000000" w:fill="FFFFFF"/>
            <w:noWrap/>
            <w:vAlign w:val="bottom"/>
            <w:hideMark/>
          </w:tcPr>
          <w:p w14:paraId="3D85897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-0.43</w:t>
            </w:r>
          </w:p>
        </w:tc>
        <w:tc>
          <w:tcPr>
            <w:tcW w:w="1240" w:type="dxa"/>
            <w:tcBorders>
              <w:top w:val="nil"/>
              <w:left w:val="nil"/>
              <w:bottom w:val="single" w:sz="4" w:space="0" w:color="auto"/>
              <w:right w:val="single" w:sz="4" w:space="0" w:color="auto"/>
            </w:tcBorders>
            <w:shd w:val="clear" w:color="000000" w:fill="FFFFFF"/>
            <w:noWrap/>
            <w:vAlign w:val="bottom"/>
            <w:hideMark/>
          </w:tcPr>
          <w:p w14:paraId="46F6F00C"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0.377</w:t>
            </w:r>
          </w:p>
        </w:tc>
        <w:tc>
          <w:tcPr>
            <w:tcW w:w="1240" w:type="dxa"/>
            <w:tcBorders>
              <w:top w:val="nil"/>
              <w:left w:val="nil"/>
              <w:bottom w:val="single" w:sz="4" w:space="0" w:color="auto"/>
              <w:right w:val="single" w:sz="4" w:space="0" w:color="auto"/>
            </w:tcBorders>
            <w:shd w:val="clear" w:color="000000" w:fill="FFFFFF"/>
            <w:noWrap/>
            <w:vAlign w:val="bottom"/>
            <w:hideMark/>
          </w:tcPr>
          <w:p w14:paraId="0A63CC1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0.254</w:t>
            </w:r>
          </w:p>
        </w:tc>
      </w:tr>
      <w:tr w:rsidR="00506E54" w:rsidRPr="002255F7" w14:paraId="522A0E73"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B468AAD"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Brief Interview for Mental Status score - Moderately impaired</w:t>
            </w:r>
          </w:p>
        </w:tc>
        <w:tc>
          <w:tcPr>
            <w:tcW w:w="655" w:type="dxa"/>
            <w:tcBorders>
              <w:top w:val="nil"/>
              <w:left w:val="nil"/>
              <w:bottom w:val="single" w:sz="4" w:space="0" w:color="auto"/>
              <w:right w:val="single" w:sz="4" w:space="0" w:color="auto"/>
            </w:tcBorders>
            <w:shd w:val="clear" w:color="000000" w:fill="FFFFFF"/>
            <w:noWrap/>
            <w:vAlign w:val="bottom"/>
            <w:hideMark/>
          </w:tcPr>
          <w:p w14:paraId="3C42F73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-0.051</w:t>
            </w:r>
          </w:p>
        </w:tc>
        <w:tc>
          <w:tcPr>
            <w:tcW w:w="1240" w:type="dxa"/>
            <w:tcBorders>
              <w:top w:val="nil"/>
              <w:left w:val="nil"/>
              <w:bottom w:val="single" w:sz="4" w:space="0" w:color="auto"/>
              <w:right w:val="single" w:sz="4" w:space="0" w:color="auto"/>
            </w:tcBorders>
            <w:shd w:val="clear" w:color="000000" w:fill="FFFFFF"/>
            <w:noWrap/>
            <w:vAlign w:val="bottom"/>
            <w:hideMark/>
          </w:tcPr>
          <w:p w14:paraId="7013208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0.091</w:t>
            </w:r>
          </w:p>
        </w:tc>
        <w:tc>
          <w:tcPr>
            <w:tcW w:w="1240" w:type="dxa"/>
            <w:tcBorders>
              <w:top w:val="nil"/>
              <w:left w:val="nil"/>
              <w:bottom w:val="single" w:sz="4" w:space="0" w:color="auto"/>
              <w:right w:val="single" w:sz="4" w:space="0" w:color="auto"/>
            </w:tcBorders>
            <w:shd w:val="clear" w:color="000000" w:fill="FFFFFF"/>
            <w:noWrap/>
            <w:vAlign w:val="bottom"/>
            <w:hideMark/>
          </w:tcPr>
          <w:p w14:paraId="28D36DDA"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0.573</w:t>
            </w:r>
          </w:p>
        </w:tc>
      </w:tr>
      <w:tr w:rsidR="00506E54" w:rsidRPr="002255F7" w14:paraId="3C7002CC"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2792BD8"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Brief Interview for Mental Status score - Severely impaired</w:t>
            </w:r>
          </w:p>
        </w:tc>
        <w:tc>
          <w:tcPr>
            <w:tcW w:w="655" w:type="dxa"/>
            <w:tcBorders>
              <w:top w:val="nil"/>
              <w:left w:val="nil"/>
              <w:bottom w:val="single" w:sz="4" w:space="0" w:color="auto"/>
              <w:right w:val="single" w:sz="4" w:space="0" w:color="auto"/>
            </w:tcBorders>
            <w:shd w:val="clear" w:color="000000" w:fill="FFFFFF"/>
            <w:noWrap/>
            <w:vAlign w:val="bottom"/>
            <w:hideMark/>
          </w:tcPr>
          <w:p w14:paraId="6D93BDA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-0.144</w:t>
            </w:r>
          </w:p>
        </w:tc>
        <w:tc>
          <w:tcPr>
            <w:tcW w:w="1240" w:type="dxa"/>
            <w:tcBorders>
              <w:top w:val="nil"/>
              <w:left w:val="nil"/>
              <w:bottom w:val="single" w:sz="4" w:space="0" w:color="auto"/>
              <w:right w:val="single" w:sz="4" w:space="0" w:color="auto"/>
            </w:tcBorders>
            <w:shd w:val="clear" w:color="000000" w:fill="FFFFFF"/>
            <w:noWrap/>
            <w:vAlign w:val="bottom"/>
            <w:hideMark/>
          </w:tcPr>
          <w:p w14:paraId="57E0AF99"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0.103</w:t>
            </w:r>
          </w:p>
        </w:tc>
        <w:tc>
          <w:tcPr>
            <w:tcW w:w="1240" w:type="dxa"/>
            <w:tcBorders>
              <w:top w:val="nil"/>
              <w:left w:val="nil"/>
              <w:bottom w:val="single" w:sz="4" w:space="0" w:color="auto"/>
              <w:right w:val="single" w:sz="4" w:space="0" w:color="auto"/>
            </w:tcBorders>
            <w:shd w:val="clear" w:color="000000" w:fill="FFFFFF"/>
            <w:noWrap/>
            <w:vAlign w:val="bottom"/>
            <w:hideMark/>
          </w:tcPr>
          <w:p w14:paraId="61BD764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0.163</w:t>
            </w:r>
          </w:p>
        </w:tc>
      </w:tr>
      <w:tr w:rsidR="00506E54" w:rsidRPr="002255F7" w14:paraId="750BD63F"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30282700"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Mobility score at discharge - continuous form</w:t>
            </w:r>
          </w:p>
        </w:tc>
        <w:tc>
          <w:tcPr>
            <w:tcW w:w="655" w:type="dxa"/>
            <w:tcBorders>
              <w:top w:val="nil"/>
              <w:left w:val="nil"/>
              <w:bottom w:val="single" w:sz="4" w:space="0" w:color="auto"/>
              <w:right w:val="single" w:sz="4" w:space="0" w:color="auto"/>
            </w:tcBorders>
            <w:shd w:val="clear" w:color="000000" w:fill="FFFFFF"/>
            <w:noWrap/>
            <w:vAlign w:val="bottom"/>
            <w:hideMark/>
          </w:tcPr>
          <w:p w14:paraId="0F6CEB24"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-0.006</w:t>
            </w:r>
          </w:p>
        </w:tc>
        <w:tc>
          <w:tcPr>
            <w:tcW w:w="1240" w:type="dxa"/>
            <w:tcBorders>
              <w:top w:val="nil"/>
              <w:left w:val="nil"/>
              <w:bottom w:val="single" w:sz="4" w:space="0" w:color="auto"/>
              <w:right w:val="single" w:sz="4" w:space="0" w:color="auto"/>
            </w:tcBorders>
            <w:shd w:val="clear" w:color="000000" w:fill="FFFFFF"/>
            <w:noWrap/>
            <w:vAlign w:val="bottom"/>
            <w:hideMark/>
          </w:tcPr>
          <w:p w14:paraId="60858A2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0.018</w:t>
            </w:r>
          </w:p>
        </w:tc>
        <w:tc>
          <w:tcPr>
            <w:tcW w:w="1240" w:type="dxa"/>
            <w:tcBorders>
              <w:top w:val="nil"/>
              <w:left w:val="nil"/>
              <w:bottom w:val="single" w:sz="4" w:space="0" w:color="auto"/>
              <w:right w:val="single" w:sz="4" w:space="0" w:color="auto"/>
            </w:tcBorders>
            <w:shd w:val="clear" w:color="000000" w:fill="FFFFFF"/>
            <w:noWrap/>
            <w:vAlign w:val="bottom"/>
            <w:hideMark/>
          </w:tcPr>
          <w:p w14:paraId="7E11342E"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0.743</w:t>
            </w:r>
          </w:p>
        </w:tc>
      </w:tr>
      <w:tr w:rsidR="00506E54" w:rsidRPr="002255F7" w14:paraId="3AE47A8E"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22733BC"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Mobility score at discharge - squared form</w:t>
            </w:r>
          </w:p>
        </w:tc>
        <w:tc>
          <w:tcPr>
            <w:tcW w:w="655" w:type="dxa"/>
            <w:tcBorders>
              <w:top w:val="nil"/>
              <w:left w:val="nil"/>
              <w:bottom w:val="single" w:sz="4" w:space="0" w:color="auto"/>
              <w:right w:val="single" w:sz="4" w:space="0" w:color="auto"/>
            </w:tcBorders>
            <w:shd w:val="clear" w:color="000000" w:fill="FFFFFF"/>
            <w:noWrap/>
            <w:vAlign w:val="bottom"/>
            <w:hideMark/>
          </w:tcPr>
          <w:p w14:paraId="14F88F1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1E960607"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7C71F58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0.472</w:t>
            </w:r>
          </w:p>
        </w:tc>
      </w:tr>
      <w:tr w:rsidR="00506E54" w:rsidRPr="002255F7" w14:paraId="2A4FF4CA"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6A3E7D03" w14:textId="49347BF7" w:rsidR="00506E54" w:rsidRPr="002255F7" w:rsidRDefault="00506E54" w:rsidP="00436120">
            <w:pPr>
              <w:rPr>
                <w:rFonts w:ascii="Arial" w:hAnsi="Arial" w:cs="Arial"/>
                <w:color w:val="000000"/>
                <w:sz w:val="22"/>
                <w:szCs w:val="22"/>
              </w:rPr>
            </w:pPr>
            <w:r>
              <w:rPr>
                <w:rFonts w:ascii="Arial" w:hAnsi="Arial" w:cs="Arial"/>
                <w:color w:val="000000"/>
                <w:sz w:val="22"/>
                <w:szCs w:val="22"/>
              </w:rPr>
              <w:t>Self-</w:t>
            </w:r>
            <w:r w:rsidRPr="002255F7">
              <w:rPr>
                <w:rFonts w:ascii="Arial" w:hAnsi="Arial" w:cs="Arial"/>
                <w:color w:val="000000"/>
                <w:sz w:val="22"/>
                <w:szCs w:val="22"/>
              </w:rPr>
              <w:t>care score at discharge - continuous form</w:t>
            </w:r>
          </w:p>
        </w:tc>
        <w:tc>
          <w:tcPr>
            <w:tcW w:w="655" w:type="dxa"/>
            <w:tcBorders>
              <w:top w:val="nil"/>
              <w:left w:val="nil"/>
              <w:bottom w:val="single" w:sz="4" w:space="0" w:color="auto"/>
              <w:right w:val="single" w:sz="4" w:space="0" w:color="auto"/>
            </w:tcBorders>
            <w:shd w:val="clear" w:color="000000" w:fill="FFFFFF"/>
            <w:noWrap/>
            <w:vAlign w:val="bottom"/>
            <w:hideMark/>
          </w:tcPr>
          <w:p w14:paraId="7A4EDDB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0.053</w:t>
            </w:r>
          </w:p>
        </w:tc>
        <w:tc>
          <w:tcPr>
            <w:tcW w:w="1240" w:type="dxa"/>
            <w:tcBorders>
              <w:top w:val="nil"/>
              <w:left w:val="nil"/>
              <w:bottom w:val="single" w:sz="4" w:space="0" w:color="auto"/>
              <w:right w:val="single" w:sz="4" w:space="0" w:color="auto"/>
            </w:tcBorders>
            <w:shd w:val="clear" w:color="000000" w:fill="FFFFFF"/>
            <w:noWrap/>
            <w:vAlign w:val="bottom"/>
            <w:hideMark/>
          </w:tcPr>
          <w:p w14:paraId="3E9C9876"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0.034</w:t>
            </w:r>
          </w:p>
        </w:tc>
        <w:tc>
          <w:tcPr>
            <w:tcW w:w="1240" w:type="dxa"/>
            <w:tcBorders>
              <w:top w:val="nil"/>
              <w:left w:val="nil"/>
              <w:bottom w:val="single" w:sz="4" w:space="0" w:color="auto"/>
              <w:right w:val="single" w:sz="4" w:space="0" w:color="auto"/>
            </w:tcBorders>
            <w:shd w:val="clear" w:color="000000" w:fill="FFFFFF"/>
            <w:noWrap/>
            <w:vAlign w:val="bottom"/>
            <w:hideMark/>
          </w:tcPr>
          <w:p w14:paraId="1891BEC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0.115</w:t>
            </w:r>
          </w:p>
        </w:tc>
      </w:tr>
      <w:tr w:rsidR="00506E54" w:rsidRPr="002255F7" w14:paraId="588F65E7"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586EBAD4" w14:textId="0105456C" w:rsidR="00506E54" w:rsidRPr="002255F7" w:rsidRDefault="00506E54" w:rsidP="00436120">
            <w:pPr>
              <w:rPr>
                <w:rFonts w:ascii="Arial" w:hAnsi="Arial" w:cs="Arial"/>
                <w:color w:val="000000"/>
                <w:sz w:val="22"/>
                <w:szCs w:val="22"/>
              </w:rPr>
            </w:pPr>
            <w:r>
              <w:rPr>
                <w:rFonts w:ascii="Arial" w:hAnsi="Arial" w:cs="Arial"/>
                <w:color w:val="000000"/>
                <w:sz w:val="22"/>
                <w:szCs w:val="22"/>
              </w:rPr>
              <w:t>Self-</w:t>
            </w:r>
            <w:r w:rsidRPr="002255F7">
              <w:rPr>
                <w:rFonts w:ascii="Arial" w:hAnsi="Arial" w:cs="Arial"/>
                <w:color w:val="000000"/>
                <w:sz w:val="22"/>
                <w:szCs w:val="22"/>
              </w:rPr>
              <w:t>care score at discharge - squared form</w:t>
            </w:r>
          </w:p>
        </w:tc>
        <w:tc>
          <w:tcPr>
            <w:tcW w:w="655" w:type="dxa"/>
            <w:tcBorders>
              <w:top w:val="nil"/>
              <w:left w:val="nil"/>
              <w:bottom w:val="single" w:sz="4" w:space="0" w:color="auto"/>
              <w:right w:val="single" w:sz="4" w:space="0" w:color="auto"/>
            </w:tcBorders>
            <w:shd w:val="clear" w:color="000000" w:fill="FFFFFF"/>
            <w:noWrap/>
            <w:vAlign w:val="bottom"/>
            <w:hideMark/>
          </w:tcPr>
          <w:p w14:paraId="2B0241DD"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-0.001</w:t>
            </w:r>
          </w:p>
        </w:tc>
        <w:tc>
          <w:tcPr>
            <w:tcW w:w="1240" w:type="dxa"/>
            <w:tcBorders>
              <w:top w:val="nil"/>
              <w:left w:val="nil"/>
              <w:bottom w:val="single" w:sz="4" w:space="0" w:color="auto"/>
              <w:right w:val="single" w:sz="4" w:space="0" w:color="auto"/>
            </w:tcBorders>
            <w:shd w:val="clear" w:color="000000" w:fill="FFFFFF"/>
            <w:noWrap/>
            <w:vAlign w:val="bottom"/>
            <w:hideMark/>
          </w:tcPr>
          <w:p w14:paraId="10A595E0"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0.001</w:t>
            </w:r>
          </w:p>
        </w:tc>
        <w:tc>
          <w:tcPr>
            <w:tcW w:w="1240" w:type="dxa"/>
            <w:tcBorders>
              <w:top w:val="nil"/>
              <w:left w:val="nil"/>
              <w:bottom w:val="single" w:sz="4" w:space="0" w:color="auto"/>
              <w:right w:val="single" w:sz="4" w:space="0" w:color="auto"/>
            </w:tcBorders>
            <w:shd w:val="clear" w:color="000000" w:fill="FFFFFF"/>
            <w:noWrap/>
            <w:vAlign w:val="bottom"/>
            <w:hideMark/>
          </w:tcPr>
          <w:p w14:paraId="3B737D01"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0.089</w:t>
            </w:r>
          </w:p>
        </w:tc>
      </w:tr>
      <w:tr w:rsidR="00506E54" w:rsidRPr="002255F7" w14:paraId="6F270A42" w14:textId="77777777" w:rsidTr="00E7716C">
        <w:trPr>
          <w:trHeight w:val="290"/>
        </w:trPr>
        <w:tc>
          <w:tcPr>
            <w:tcW w:w="7080" w:type="dxa"/>
            <w:tcBorders>
              <w:top w:val="nil"/>
              <w:left w:val="single" w:sz="4" w:space="0" w:color="auto"/>
              <w:bottom w:val="single" w:sz="4" w:space="0" w:color="auto"/>
              <w:right w:val="single" w:sz="4" w:space="0" w:color="auto"/>
            </w:tcBorders>
            <w:shd w:val="clear" w:color="000000" w:fill="FFFFFF"/>
            <w:noWrap/>
            <w:vAlign w:val="bottom"/>
            <w:hideMark/>
          </w:tcPr>
          <w:p w14:paraId="10454742" w14:textId="77777777" w:rsidR="00506E54" w:rsidRPr="002255F7" w:rsidRDefault="00506E54" w:rsidP="00436120">
            <w:pPr>
              <w:rPr>
                <w:rFonts w:ascii="Arial" w:hAnsi="Arial" w:cs="Arial"/>
                <w:color w:val="000000"/>
                <w:sz w:val="22"/>
                <w:szCs w:val="22"/>
              </w:rPr>
            </w:pPr>
            <w:r w:rsidRPr="002255F7">
              <w:rPr>
                <w:rFonts w:ascii="Arial" w:hAnsi="Arial" w:cs="Arial"/>
                <w:color w:val="000000"/>
                <w:sz w:val="22"/>
                <w:szCs w:val="22"/>
              </w:rPr>
              <w:t>Tube/Parenteral Feeding</w:t>
            </w:r>
          </w:p>
        </w:tc>
        <w:tc>
          <w:tcPr>
            <w:tcW w:w="655" w:type="dxa"/>
            <w:tcBorders>
              <w:top w:val="nil"/>
              <w:left w:val="nil"/>
              <w:bottom w:val="single" w:sz="4" w:space="0" w:color="auto"/>
              <w:right w:val="single" w:sz="4" w:space="0" w:color="auto"/>
            </w:tcBorders>
            <w:shd w:val="clear" w:color="000000" w:fill="FFFFFF"/>
            <w:noWrap/>
            <w:vAlign w:val="bottom"/>
            <w:hideMark/>
          </w:tcPr>
          <w:p w14:paraId="4CCB5783"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0.52</w:t>
            </w:r>
          </w:p>
        </w:tc>
        <w:tc>
          <w:tcPr>
            <w:tcW w:w="1240" w:type="dxa"/>
            <w:tcBorders>
              <w:top w:val="nil"/>
              <w:left w:val="nil"/>
              <w:bottom w:val="single" w:sz="4" w:space="0" w:color="auto"/>
              <w:right w:val="single" w:sz="4" w:space="0" w:color="auto"/>
            </w:tcBorders>
            <w:shd w:val="clear" w:color="000000" w:fill="FFFFFF"/>
            <w:noWrap/>
            <w:vAlign w:val="bottom"/>
            <w:hideMark/>
          </w:tcPr>
          <w:p w14:paraId="2FE920B2"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0.237</w:t>
            </w:r>
          </w:p>
        </w:tc>
        <w:tc>
          <w:tcPr>
            <w:tcW w:w="1240" w:type="dxa"/>
            <w:tcBorders>
              <w:top w:val="nil"/>
              <w:left w:val="nil"/>
              <w:bottom w:val="single" w:sz="4" w:space="0" w:color="auto"/>
              <w:right w:val="single" w:sz="4" w:space="0" w:color="auto"/>
            </w:tcBorders>
            <w:shd w:val="clear" w:color="000000" w:fill="FFFFFF"/>
            <w:noWrap/>
            <w:vAlign w:val="bottom"/>
            <w:hideMark/>
          </w:tcPr>
          <w:p w14:paraId="1D9819EB" w14:textId="77777777" w:rsidR="00506E54" w:rsidRPr="002255F7" w:rsidRDefault="00506E54" w:rsidP="00436120">
            <w:pPr>
              <w:jc w:val="right"/>
              <w:rPr>
                <w:rFonts w:ascii="Arial" w:hAnsi="Arial" w:cs="Arial"/>
                <w:color w:val="000000"/>
                <w:sz w:val="22"/>
                <w:szCs w:val="22"/>
              </w:rPr>
            </w:pPr>
            <w:r w:rsidRPr="002255F7">
              <w:rPr>
                <w:rFonts w:ascii="Arial" w:hAnsi="Arial" w:cs="Arial"/>
                <w:color w:val="000000"/>
                <w:sz w:val="22"/>
                <w:szCs w:val="22"/>
              </w:rPr>
              <w:t>0.029</w:t>
            </w:r>
          </w:p>
        </w:tc>
      </w:tr>
    </w:tbl>
    <w:p w14:paraId="3FAA7A4B" w14:textId="77777777" w:rsidR="00E7716C" w:rsidRDefault="00E7716C" w:rsidP="00383607">
      <w:pPr>
        <w:spacing w:after="0" w:line="240" w:lineRule="auto"/>
        <w:rPr>
          <w:rFonts w:ascii="Arial" w:hAnsi="Arial" w:cs="Arial"/>
          <w:sz w:val="22"/>
          <w:szCs w:val="22"/>
        </w:rPr>
      </w:pPr>
    </w:p>
    <w:p w14:paraId="140A09B2" w14:textId="07A90F60" w:rsidR="00E04ABD" w:rsidRPr="006D3CDC" w:rsidRDefault="00E04ABD" w:rsidP="00E04ABD">
      <w:pPr>
        <w:spacing w:line="480" w:lineRule="auto"/>
        <w:rPr>
          <w:rFonts w:ascii="Arial" w:hAnsi="Arial" w:cs="Arial"/>
          <w:sz w:val="22"/>
          <w:szCs w:val="22"/>
        </w:rPr>
      </w:pPr>
      <w:r>
        <w:rPr>
          <w:rFonts w:ascii="Arial" w:hAnsi="Arial" w:cs="Arial"/>
          <w:sz w:val="22"/>
          <w:szCs w:val="22"/>
        </w:rPr>
        <w:t>Har</w:t>
      </w:r>
      <w:r w:rsidR="00DB0C20">
        <w:rPr>
          <w:rFonts w:ascii="Arial" w:hAnsi="Arial" w:cs="Arial"/>
          <w:sz w:val="22"/>
          <w:szCs w:val="22"/>
        </w:rPr>
        <w:t>r</w:t>
      </w:r>
      <w:r>
        <w:rPr>
          <w:rFonts w:ascii="Arial" w:hAnsi="Arial" w:cs="Arial"/>
          <w:sz w:val="22"/>
          <w:szCs w:val="22"/>
        </w:rPr>
        <w:t>ell C-Statistic=0</w:t>
      </w:r>
      <w:r w:rsidR="00DB0C20">
        <w:rPr>
          <w:rFonts w:ascii="Arial" w:hAnsi="Arial" w:cs="Arial"/>
          <w:sz w:val="22"/>
          <w:szCs w:val="22"/>
        </w:rPr>
        <w:t>.</w:t>
      </w:r>
      <w:r w:rsidR="00E7716C">
        <w:rPr>
          <w:rFonts w:ascii="Arial" w:hAnsi="Arial" w:cs="Arial"/>
          <w:sz w:val="22"/>
          <w:szCs w:val="22"/>
        </w:rPr>
        <w:t>645</w:t>
      </w:r>
      <w:r>
        <w:rPr>
          <w:rFonts w:ascii="Arial" w:hAnsi="Arial" w:cs="Arial"/>
          <w:sz w:val="22"/>
          <w:szCs w:val="22"/>
        </w:rPr>
        <w:t>, n=5349</w:t>
      </w:r>
    </w:p>
    <w:p w14:paraId="6022A13E" w14:textId="77777777" w:rsidR="00E04ABD" w:rsidRDefault="00E04ABD" w:rsidP="00E04ABD">
      <w:pPr>
        <w:rPr>
          <w:rFonts w:ascii="Arial" w:hAnsi="Arial" w:cs="Arial"/>
          <w:sz w:val="22"/>
          <w:szCs w:val="22"/>
        </w:rPr>
      </w:pPr>
    </w:p>
    <w:p w14:paraId="659FBFB9" w14:textId="77777777" w:rsidR="00E04ABD" w:rsidRPr="00551369" w:rsidRDefault="00E04ABD" w:rsidP="003916D5">
      <w:pPr>
        <w:spacing w:after="0" w:line="480" w:lineRule="auto"/>
      </w:pPr>
    </w:p>
    <w:sectPr w:rsidR="00E04ABD" w:rsidRPr="00551369" w:rsidSect="00DB3BBE">
      <w:headerReference w:type="even" r:id="rId22"/>
      <w:headerReference w:type="default" r:id="rId23"/>
      <w:footerReference w:type="even" r:id="rId24"/>
      <w:footerReference w:type="default" r:id="rId25"/>
      <w:headerReference w:type="first" r:id="rId26"/>
      <w:footerReference w:type="firs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4C6CB" w14:textId="77777777" w:rsidR="007271D3" w:rsidRDefault="007271D3" w:rsidP="007247D4">
      <w:pPr>
        <w:spacing w:after="0" w:line="240" w:lineRule="auto"/>
      </w:pPr>
      <w:r>
        <w:separator/>
      </w:r>
    </w:p>
  </w:endnote>
  <w:endnote w:type="continuationSeparator" w:id="0">
    <w:p w14:paraId="6A2F6E86" w14:textId="77777777" w:rsidR="007271D3" w:rsidRDefault="007271D3" w:rsidP="0072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A52D" w14:textId="77777777" w:rsidR="00436120" w:rsidRDefault="00436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234688"/>
      <w:docPartObj>
        <w:docPartGallery w:val="Page Numbers (Bottom of Page)"/>
        <w:docPartUnique/>
      </w:docPartObj>
    </w:sdtPr>
    <w:sdtEndPr>
      <w:rPr>
        <w:noProof/>
      </w:rPr>
    </w:sdtEndPr>
    <w:sdtContent>
      <w:p w14:paraId="7E410F24" w14:textId="1B85061E" w:rsidR="00436120" w:rsidRDefault="00436120">
        <w:pPr>
          <w:pStyle w:val="Footer"/>
          <w:jc w:val="center"/>
        </w:pPr>
        <w:r>
          <w:fldChar w:fldCharType="begin"/>
        </w:r>
        <w:r>
          <w:instrText xml:space="preserve"> PAGE   \* MERGEFORMAT </w:instrText>
        </w:r>
        <w:r>
          <w:fldChar w:fldCharType="separate"/>
        </w:r>
        <w:r w:rsidR="009674B8">
          <w:rPr>
            <w:noProof/>
          </w:rPr>
          <w:t>28</w:t>
        </w:r>
        <w:r>
          <w:rPr>
            <w:noProof/>
          </w:rPr>
          <w:fldChar w:fldCharType="end"/>
        </w:r>
      </w:p>
    </w:sdtContent>
  </w:sdt>
  <w:p w14:paraId="20EEE1F3" w14:textId="77777777" w:rsidR="00436120" w:rsidRDefault="00436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F410" w14:textId="77777777" w:rsidR="00436120" w:rsidRDefault="00436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1503" w14:textId="77777777" w:rsidR="007271D3" w:rsidRDefault="007271D3" w:rsidP="007247D4">
      <w:pPr>
        <w:spacing w:after="0" w:line="240" w:lineRule="auto"/>
      </w:pPr>
      <w:r>
        <w:separator/>
      </w:r>
    </w:p>
  </w:footnote>
  <w:footnote w:type="continuationSeparator" w:id="0">
    <w:p w14:paraId="6BEB17E8" w14:textId="77777777" w:rsidR="007271D3" w:rsidRDefault="007271D3" w:rsidP="00724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1DEF" w14:textId="77777777" w:rsidR="00436120" w:rsidRDefault="00436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4293" w14:textId="62F5C519" w:rsidR="00436120" w:rsidRDefault="00436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2B9B" w14:textId="77777777" w:rsidR="00436120" w:rsidRDefault="00436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124"/>
    <w:multiLevelType w:val="hybridMultilevel"/>
    <w:tmpl w:val="A9F0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260CB"/>
    <w:multiLevelType w:val="hybridMultilevel"/>
    <w:tmpl w:val="186C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83A9E"/>
    <w:multiLevelType w:val="hybridMultilevel"/>
    <w:tmpl w:val="F958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B07E0"/>
    <w:multiLevelType w:val="hybridMultilevel"/>
    <w:tmpl w:val="9E10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B6599"/>
    <w:multiLevelType w:val="hybridMultilevel"/>
    <w:tmpl w:val="EEF28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350945"/>
    <w:multiLevelType w:val="hybridMultilevel"/>
    <w:tmpl w:val="0FC45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937A87"/>
    <w:multiLevelType w:val="hybridMultilevel"/>
    <w:tmpl w:val="73D4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D768F"/>
    <w:multiLevelType w:val="hybridMultilevel"/>
    <w:tmpl w:val="555E4736"/>
    <w:lvl w:ilvl="0" w:tplc="75689D12">
      <w:start w:val="1"/>
      <w:numFmt w:val="bullet"/>
      <w:lvlText w:val="–"/>
      <w:lvlJc w:val="left"/>
      <w:pPr>
        <w:tabs>
          <w:tab w:val="num" w:pos="720"/>
        </w:tabs>
        <w:ind w:left="720" w:hanging="360"/>
      </w:pPr>
      <w:rPr>
        <w:rFonts w:ascii="Times New Roman" w:hAnsi="Times New Roman" w:hint="default"/>
      </w:rPr>
    </w:lvl>
    <w:lvl w:ilvl="1" w:tplc="4FA8469C">
      <w:start w:val="1"/>
      <w:numFmt w:val="bullet"/>
      <w:lvlText w:val="–"/>
      <w:lvlJc w:val="left"/>
      <w:pPr>
        <w:tabs>
          <w:tab w:val="num" w:pos="1440"/>
        </w:tabs>
        <w:ind w:left="1440" w:hanging="360"/>
      </w:pPr>
      <w:rPr>
        <w:rFonts w:ascii="Times New Roman" w:hAnsi="Times New Roman" w:hint="default"/>
      </w:rPr>
    </w:lvl>
    <w:lvl w:ilvl="2" w:tplc="662C3212" w:tentative="1">
      <w:start w:val="1"/>
      <w:numFmt w:val="bullet"/>
      <w:lvlText w:val="–"/>
      <w:lvlJc w:val="left"/>
      <w:pPr>
        <w:tabs>
          <w:tab w:val="num" w:pos="2160"/>
        </w:tabs>
        <w:ind w:left="2160" w:hanging="360"/>
      </w:pPr>
      <w:rPr>
        <w:rFonts w:ascii="Times New Roman" w:hAnsi="Times New Roman" w:hint="default"/>
      </w:rPr>
    </w:lvl>
    <w:lvl w:ilvl="3" w:tplc="518AA8F2" w:tentative="1">
      <w:start w:val="1"/>
      <w:numFmt w:val="bullet"/>
      <w:lvlText w:val="–"/>
      <w:lvlJc w:val="left"/>
      <w:pPr>
        <w:tabs>
          <w:tab w:val="num" w:pos="2880"/>
        </w:tabs>
        <w:ind w:left="2880" w:hanging="360"/>
      </w:pPr>
      <w:rPr>
        <w:rFonts w:ascii="Times New Roman" w:hAnsi="Times New Roman" w:hint="default"/>
      </w:rPr>
    </w:lvl>
    <w:lvl w:ilvl="4" w:tplc="F71C8194" w:tentative="1">
      <w:start w:val="1"/>
      <w:numFmt w:val="bullet"/>
      <w:lvlText w:val="–"/>
      <w:lvlJc w:val="left"/>
      <w:pPr>
        <w:tabs>
          <w:tab w:val="num" w:pos="3600"/>
        </w:tabs>
        <w:ind w:left="3600" w:hanging="360"/>
      </w:pPr>
      <w:rPr>
        <w:rFonts w:ascii="Times New Roman" w:hAnsi="Times New Roman" w:hint="default"/>
      </w:rPr>
    </w:lvl>
    <w:lvl w:ilvl="5" w:tplc="85CC7EB4" w:tentative="1">
      <w:start w:val="1"/>
      <w:numFmt w:val="bullet"/>
      <w:lvlText w:val="–"/>
      <w:lvlJc w:val="left"/>
      <w:pPr>
        <w:tabs>
          <w:tab w:val="num" w:pos="4320"/>
        </w:tabs>
        <w:ind w:left="4320" w:hanging="360"/>
      </w:pPr>
      <w:rPr>
        <w:rFonts w:ascii="Times New Roman" w:hAnsi="Times New Roman" w:hint="default"/>
      </w:rPr>
    </w:lvl>
    <w:lvl w:ilvl="6" w:tplc="4BA4607E" w:tentative="1">
      <w:start w:val="1"/>
      <w:numFmt w:val="bullet"/>
      <w:lvlText w:val="–"/>
      <w:lvlJc w:val="left"/>
      <w:pPr>
        <w:tabs>
          <w:tab w:val="num" w:pos="5040"/>
        </w:tabs>
        <w:ind w:left="5040" w:hanging="360"/>
      </w:pPr>
      <w:rPr>
        <w:rFonts w:ascii="Times New Roman" w:hAnsi="Times New Roman" w:hint="default"/>
      </w:rPr>
    </w:lvl>
    <w:lvl w:ilvl="7" w:tplc="4B44FFE8" w:tentative="1">
      <w:start w:val="1"/>
      <w:numFmt w:val="bullet"/>
      <w:lvlText w:val="–"/>
      <w:lvlJc w:val="left"/>
      <w:pPr>
        <w:tabs>
          <w:tab w:val="num" w:pos="5760"/>
        </w:tabs>
        <w:ind w:left="5760" w:hanging="360"/>
      </w:pPr>
      <w:rPr>
        <w:rFonts w:ascii="Times New Roman" w:hAnsi="Times New Roman" w:hint="default"/>
      </w:rPr>
    </w:lvl>
    <w:lvl w:ilvl="8" w:tplc="EED86A9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6D7470"/>
    <w:multiLevelType w:val="hybridMultilevel"/>
    <w:tmpl w:val="6A5A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217EFB"/>
    <w:multiLevelType w:val="hybridMultilevel"/>
    <w:tmpl w:val="22208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79054D"/>
    <w:multiLevelType w:val="hybridMultilevel"/>
    <w:tmpl w:val="FF504AF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317F08A8"/>
    <w:multiLevelType w:val="hybridMultilevel"/>
    <w:tmpl w:val="9482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166F6"/>
    <w:multiLevelType w:val="hybridMultilevel"/>
    <w:tmpl w:val="51A4658C"/>
    <w:lvl w:ilvl="0" w:tplc="3F62E6A4">
      <w:start w:val="1"/>
      <w:numFmt w:val="bullet"/>
      <w:lvlText w:val="–"/>
      <w:lvlJc w:val="left"/>
      <w:pPr>
        <w:tabs>
          <w:tab w:val="num" w:pos="720"/>
        </w:tabs>
        <w:ind w:left="720" w:hanging="360"/>
      </w:pPr>
      <w:rPr>
        <w:rFonts w:ascii="Times New Roman" w:hAnsi="Times New Roman" w:hint="default"/>
      </w:rPr>
    </w:lvl>
    <w:lvl w:ilvl="1" w:tplc="DCF423F4">
      <w:start w:val="1"/>
      <w:numFmt w:val="bullet"/>
      <w:lvlText w:val="–"/>
      <w:lvlJc w:val="left"/>
      <w:pPr>
        <w:tabs>
          <w:tab w:val="num" w:pos="1440"/>
        </w:tabs>
        <w:ind w:left="1440" w:hanging="360"/>
      </w:pPr>
      <w:rPr>
        <w:rFonts w:ascii="Times New Roman" w:hAnsi="Times New Roman" w:hint="default"/>
      </w:rPr>
    </w:lvl>
    <w:lvl w:ilvl="2" w:tplc="95B25DFE" w:tentative="1">
      <w:start w:val="1"/>
      <w:numFmt w:val="bullet"/>
      <w:lvlText w:val="–"/>
      <w:lvlJc w:val="left"/>
      <w:pPr>
        <w:tabs>
          <w:tab w:val="num" w:pos="2160"/>
        </w:tabs>
        <w:ind w:left="2160" w:hanging="360"/>
      </w:pPr>
      <w:rPr>
        <w:rFonts w:ascii="Times New Roman" w:hAnsi="Times New Roman" w:hint="default"/>
      </w:rPr>
    </w:lvl>
    <w:lvl w:ilvl="3" w:tplc="43A8E3B2" w:tentative="1">
      <w:start w:val="1"/>
      <w:numFmt w:val="bullet"/>
      <w:lvlText w:val="–"/>
      <w:lvlJc w:val="left"/>
      <w:pPr>
        <w:tabs>
          <w:tab w:val="num" w:pos="2880"/>
        </w:tabs>
        <w:ind w:left="2880" w:hanging="360"/>
      </w:pPr>
      <w:rPr>
        <w:rFonts w:ascii="Times New Roman" w:hAnsi="Times New Roman" w:hint="default"/>
      </w:rPr>
    </w:lvl>
    <w:lvl w:ilvl="4" w:tplc="ABA2DD3E" w:tentative="1">
      <w:start w:val="1"/>
      <w:numFmt w:val="bullet"/>
      <w:lvlText w:val="–"/>
      <w:lvlJc w:val="left"/>
      <w:pPr>
        <w:tabs>
          <w:tab w:val="num" w:pos="3600"/>
        </w:tabs>
        <w:ind w:left="3600" w:hanging="360"/>
      </w:pPr>
      <w:rPr>
        <w:rFonts w:ascii="Times New Roman" w:hAnsi="Times New Roman" w:hint="default"/>
      </w:rPr>
    </w:lvl>
    <w:lvl w:ilvl="5" w:tplc="11B250E0" w:tentative="1">
      <w:start w:val="1"/>
      <w:numFmt w:val="bullet"/>
      <w:lvlText w:val="–"/>
      <w:lvlJc w:val="left"/>
      <w:pPr>
        <w:tabs>
          <w:tab w:val="num" w:pos="4320"/>
        </w:tabs>
        <w:ind w:left="4320" w:hanging="360"/>
      </w:pPr>
      <w:rPr>
        <w:rFonts w:ascii="Times New Roman" w:hAnsi="Times New Roman" w:hint="default"/>
      </w:rPr>
    </w:lvl>
    <w:lvl w:ilvl="6" w:tplc="FB4A0AD8" w:tentative="1">
      <w:start w:val="1"/>
      <w:numFmt w:val="bullet"/>
      <w:lvlText w:val="–"/>
      <w:lvlJc w:val="left"/>
      <w:pPr>
        <w:tabs>
          <w:tab w:val="num" w:pos="5040"/>
        </w:tabs>
        <w:ind w:left="5040" w:hanging="360"/>
      </w:pPr>
      <w:rPr>
        <w:rFonts w:ascii="Times New Roman" w:hAnsi="Times New Roman" w:hint="default"/>
      </w:rPr>
    </w:lvl>
    <w:lvl w:ilvl="7" w:tplc="61A6BA7C" w:tentative="1">
      <w:start w:val="1"/>
      <w:numFmt w:val="bullet"/>
      <w:lvlText w:val="–"/>
      <w:lvlJc w:val="left"/>
      <w:pPr>
        <w:tabs>
          <w:tab w:val="num" w:pos="5760"/>
        </w:tabs>
        <w:ind w:left="5760" w:hanging="360"/>
      </w:pPr>
      <w:rPr>
        <w:rFonts w:ascii="Times New Roman" w:hAnsi="Times New Roman" w:hint="default"/>
      </w:rPr>
    </w:lvl>
    <w:lvl w:ilvl="8" w:tplc="A2A4D4F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B2C59CA"/>
    <w:multiLevelType w:val="hybridMultilevel"/>
    <w:tmpl w:val="D7E2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25FB1"/>
    <w:multiLevelType w:val="hybridMultilevel"/>
    <w:tmpl w:val="8CE0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D5F8E"/>
    <w:multiLevelType w:val="hybridMultilevel"/>
    <w:tmpl w:val="0E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0146B"/>
    <w:multiLevelType w:val="hybridMultilevel"/>
    <w:tmpl w:val="0B0AE450"/>
    <w:lvl w:ilvl="0" w:tplc="4A7A9A4C">
      <w:start w:val="9"/>
      <w:numFmt w:val="lowerLetter"/>
      <w:lvlText w:val="%1."/>
      <w:lvlJc w:val="left"/>
      <w:pPr>
        <w:ind w:left="460" w:hanging="360"/>
      </w:pPr>
      <w:rPr>
        <w:rFonts w:ascii="Times New Roman" w:eastAsia="Times New Roman" w:hAnsi="Times New Roman" w:hint="default"/>
        <w:sz w:val="24"/>
        <w:szCs w:val="24"/>
      </w:rPr>
    </w:lvl>
    <w:lvl w:ilvl="1" w:tplc="D2BE8354">
      <w:start w:val="1"/>
      <w:numFmt w:val="decimal"/>
      <w:lvlText w:val="%2."/>
      <w:lvlJc w:val="left"/>
      <w:pPr>
        <w:ind w:left="460" w:hanging="360"/>
      </w:pPr>
      <w:rPr>
        <w:rFonts w:asciiTheme="minorHAnsi" w:eastAsia="Times New Roman" w:hAnsiTheme="minorHAnsi" w:hint="default"/>
        <w:b w:val="0"/>
        <w:caps w:val="0"/>
        <w:smallCaps w:val="0"/>
        <w:color w:val="000000" w:themeColor="text1"/>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A90E2452">
      <w:start w:val="1"/>
      <w:numFmt w:val="bullet"/>
      <w:lvlText w:val="•"/>
      <w:lvlJc w:val="left"/>
      <w:pPr>
        <w:ind w:left="2280" w:hanging="360"/>
      </w:pPr>
      <w:rPr>
        <w:rFonts w:hint="default"/>
      </w:rPr>
    </w:lvl>
    <w:lvl w:ilvl="3" w:tplc="C548077A">
      <w:start w:val="1"/>
      <w:numFmt w:val="bullet"/>
      <w:lvlText w:val="•"/>
      <w:lvlJc w:val="left"/>
      <w:pPr>
        <w:ind w:left="3190" w:hanging="360"/>
      </w:pPr>
      <w:rPr>
        <w:rFonts w:hint="default"/>
      </w:rPr>
    </w:lvl>
    <w:lvl w:ilvl="4" w:tplc="1006223A">
      <w:start w:val="1"/>
      <w:numFmt w:val="bullet"/>
      <w:lvlText w:val="•"/>
      <w:lvlJc w:val="left"/>
      <w:pPr>
        <w:ind w:left="4100" w:hanging="360"/>
      </w:pPr>
      <w:rPr>
        <w:rFonts w:hint="default"/>
      </w:rPr>
    </w:lvl>
    <w:lvl w:ilvl="5" w:tplc="6BFE90EA">
      <w:start w:val="1"/>
      <w:numFmt w:val="bullet"/>
      <w:lvlText w:val="•"/>
      <w:lvlJc w:val="left"/>
      <w:pPr>
        <w:ind w:left="5010" w:hanging="360"/>
      </w:pPr>
      <w:rPr>
        <w:rFonts w:hint="default"/>
      </w:rPr>
    </w:lvl>
    <w:lvl w:ilvl="6" w:tplc="019E5E86">
      <w:start w:val="1"/>
      <w:numFmt w:val="bullet"/>
      <w:lvlText w:val="•"/>
      <w:lvlJc w:val="left"/>
      <w:pPr>
        <w:ind w:left="5920" w:hanging="360"/>
      </w:pPr>
      <w:rPr>
        <w:rFonts w:hint="default"/>
      </w:rPr>
    </w:lvl>
    <w:lvl w:ilvl="7" w:tplc="9C6088A6">
      <w:start w:val="1"/>
      <w:numFmt w:val="bullet"/>
      <w:lvlText w:val="•"/>
      <w:lvlJc w:val="left"/>
      <w:pPr>
        <w:ind w:left="6830" w:hanging="360"/>
      </w:pPr>
      <w:rPr>
        <w:rFonts w:hint="default"/>
      </w:rPr>
    </w:lvl>
    <w:lvl w:ilvl="8" w:tplc="C7C8FC6E">
      <w:start w:val="1"/>
      <w:numFmt w:val="bullet"/>
      <w:lvlText w:val="•"/>
      <w:lvlJc w:val="left"/>
      <w:pPr>
        <w:ind w:left="7740" w:hanging="360"/>
      </w:pPr>
      <w:rPr>
        <w:rFonts w:hint="default"/>
      </w:rPr>
    </w:lvl>
  </w:abstractNum>
  <w:abstractNum w:abstractNumId="17" w15:restartNumberingAfterBreak="0">
    <w:nsid w:val="47BA7E43"/>
    <w:multiLevelType w:val="hybridMultilevel"/>
    <w:tmpl w:val="5C129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1C3833"/>
    <w:multiLevelType w:val="hybridMultilevel"/>
    <w:tmpl w:val="5F6E8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9698A"/>
    <w:multiLevelType w:val="hybridMultilevel"/>
    <w:tmpl w:val="5976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377F6"/>
    <w:multiLevelType w:val="hybridMultilevel"/>
    <w:tmpl w:val="BFD6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A127F5"/>
    <w:multiLevelType w:val="hybridMultilevel"/>
    <w:tmpl w:val="438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E0A32"/>
    <w:multiLevelType w:val="hybridMultilevel"/>
    <w:tmpl w:val="C8060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725322"/>
    <w:multiLevelType w:val="hybridMultilevel"/>
    <w:tmpl w:val="062AB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2E6A22"/>
    <w:multiLevelType w:val="hybridMultilevel"/>
    <w:tmpl w:val="B80C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E73EF"/>
    <w:multiLevelType w:val="hybridMultilevel"/>
    <w:tmpl w:val="1BB67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4D14FE"/>
    <w:multiLevelType w:val="hybridMultilevel"/>
    <w:tmpl w:val="FF7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81C2F"/>
    <w:multiLevelType w:val="hybridMultilevel"/>
    <w:tmpl w:val="CD1AE2FC"/>
    <w:lvl w:ilvl="0" w:tplc="A3021B40">
      <w:start w:val="1"/>
      <w:numFmt w:val="bullet"/>
      <w:lvlText w:val="•"/>
      <w:lvlJc w:val="left"/>
      <w:pPr>
        <w:tabs>
          <w:tab w:val="num" w:pos="720"/>
        </w:tabs>
        <w:ind w:left="720" w:hanging="360"/>
      </w:pPr>
      <w:rPr>
        <w:rFonts w:ascii="Times New Roman" w:hAnsi="Times New Roman" w:hint="default"/>
      </w:rPr>
    </w:lvl>
    <w:lvl w:ilvl="1" w:tplc="BB9CE582" w:tentative="1">
      <w:start w:val="1"/>
      <w:numFmt w:val="bullet"/>
      <w:lvlText w:val="•"/>
      <w:lvlJc w:val="left"/>
      <w:pPr>
        <w:tabs>
          <w:tab w:val="num" w:pos="1440"/>
        </w:tabs>
        <w:ind w:left="1440" w:hanging="360"/>
      </w:pPr>
      <w:rPr>
        <w:rFonts w:ascii="Times New Roman" w:hAnsi="Times New Roman" w:hint="default"/>
      </w:rPr>
    </w:lvl>
    <w:lvl w:ilvl="2" w:tplc="7250FF24" w:tentative="1">
      <w:start w:val="1"/>
      <w:numFmt w:val="bullet"/>
      <w:lvlText w:val="•"/>
      <w:lvlJc w:val="left"/>
      <w:pPr>
        <w:tabs>
          <w:tab w:val="num" w:pos="2160"/>
        </w:tabs>
        <w:ind w:left="2160" w:hanging="360"/>
      </w:pPr>
      <w:rPr>
        <w:rFonts w:ascii="Times New Roman" w:hAnsi="Times New Roman" w:hint="default"/>
      </w:rPr>
    </w:lvl>
    <w:lvl w:ilvl="3" w:tplc="997A54C4" w:tentative="1">
      <w:start w:val="1"/>
      <w:numFmt w:val="bullet"/>
      <w:lvlText w:val="•"/>
      <w:lvlJc w:val="left"/>
      <w:pPr>
        <w:tabs>
          <w:tab w:val="num" w:pos="2880"/>
        </w:tabs>
        <w:ind w:left="2880" w:hanging="360"/>
      </w:pPr>
      <w:rPr>
        <w:rFonts w:ascii="Times New Roman" w:hAnsi="Times New Roman" w:hint="default"/>
      </w:rPr>
    </w:lvl>
    <w:lvl w:ilvl="4" w:tplc="55B2EC60" w:tentative="1">
      <w:start w:val="1"/>
      <w:numFmt w:val="bullet"/>
      <w:lvlText w:val="•"/>
      <w:lvlJc w:val="left"/>
      <w:pPr>
        <w:tabs>
          <w:tab w:val="num" w:pos="3600"/>
        </w:tabs>
        <w:ind w:left="3600" w:hanging="360"/>
      </w:pPr>
      <w:rPr>
        <w:rFonts w:ascii="Times New Roman" w:hAnsi="Times New Roman" w:hint="default"/>
      </w:rPr>
    </w:lvl>
    <w:lvl w:ilvl="5" w:tplc="E53AA97A" w:tentative="1">
      <w:start w:val="1"/>
      <w:numFmt w:val="bullet"/>
      <w:lvlText w:val="•"/>
      <w:lvlJc w:val="left"/>
      <w:pPr>
        <w:tabs>
          <w:tab w:val="num" w:pos="4320"/>
        </w:tabs>
        <w:ind w:left="4320" w:hanging="360"/>
      </w:pPr>
      <w:rPr>
        <w:rFonts w:ascii="Times New Roman" w:hAnsi="Times New Roman" w:hint="default"/>
      </w:rPr>
    </w:lvl>
    <w:lvl w:ilvl="6" w:tplc="5204B382" w:tentative="1">
      <w:start w:val="1"/>
      <w:numFmt w:val="bullet"/>
      <w:lvlText w:val="•"/>
      <w:lvlJc w:val="left"/>
      <w:pPr>
        <w:tabs>
          <w:tab w:val="num" w:pos="5040"/>
        </w:tabs>
        <w:ind w:left="5040" w:hanging="360"/>
      </w:pPr>
      <w:rPr>
        <w:rFonts w:ascii="Times New Roman" w:hAnsi="Times New Roman" w:hint="default"/>
      </w:rPr>
    </w:lvl>
    <w:lvl w:ilvl="7" w:tplc="1F125F0C" w:tentative="1">
      <w:start w:val="1"/>
      <w:numFmt w:val="bullet"/>
      <w:lvlText w:val="•"/>
      <w:lvlJc w:val="left"/>
      <w:pPr>
        <w:tabs>
          <w:tab w:val="num" w:pos="5760"/>
        </w:tabs>
        <w:ind w:left="5760" w:hanging="360"/>
      </w:pPr>
      <w:rPr>
        <w:rFonts w:ascii="Times New Roman" w:hAnsi="Times New Roman" w:hint="default"/>
      </w:rPr>
    </w:lvl>
    <w:lvl w:ilvl="8" w:tplc="DD10558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5"/>
  </w:num>
  <w:num w:numId="3">
    <w:abstractNumId w:val="8"/>
  </w:num>
  <w:num w:numId="4">
    <w:abstractNumId w:val="5"/>
  </w:num>
  <w:num w:numId="5">
    <w:abstractNumId w:val="4"/>
  </w:num>
  <w:num w:numId="6">
    <w:abstractNumId w:val="22"/>
  </w:num>
  <w:num w:numId="7">
    <w:abstractNumId w:val="17"/>
  </w:num>
  <w:num w:numId="8">
    <w:abstractNumId w:val="19"/>
  </w:num>
  <w:num w:numId="9">
    <w:abstractNumId w:val="13"/>
  </w:num>
  <w:num w:numId="10">
    <w:abstractNumId w:val="16"/>
  </w:num>
  <w:num w:numId="11">
    <w:abstractNumId w:val="14"/>
  </w:num>
  <w:num w:numId="12">
    <w:abstractNumId w:val="11"/>
  </w:num>
  <w:num w:numId="13">
    <w:abstractNumId w:val="21"/>
  </w:num>
  <w:num w:numId="14">
    <w:abstractNumId w:val="23"/>
  </w:num>
  <w:num w:numId="15">
    <w:abstractNumId w:val="6"/>
  </w:num>
  <w:num w:numId="16">
    <w:abstractNumId w:val="2"/>
  </w:num>
  <w:num w:numId="17">
    <w:abstractNumId w:val="3"/>
  </w:num>
  <w:num w:numId="18">
    <w:abstractNumId w:val="1"/>
  </w:num>
  <w:num w:numId="19">
    <w:abstractNumId w:val="26"/>
  </w:num>
  <w:num w:numId="20">
    <w:abstractNumId w:val="27"/>
  </w:num>
  <w:num w:numId="21">
    <w:abstractNumId w:val="12"/>
  </w:num>
  <w:num w:numId="22">
    <w:abstractNumId w:val="7"/>
  </w:num>
  <w:num w:numId="23">
    <w:abstractNumId w:val="20"/>
  </w:num>
  <w:num w:numId="24">
    <w:abstractNumId w:val="10"/>
  </w:num>
  <w:num w:numId="25">
    <w:abstractNumId w:val="15"/>
  </w:num>
  <w:num w:numId="26">
    <w:abstractNumId w:val="0"/>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C6"/>
    <w:rsid w:val="00000D94"/>
    <w:rsid w:val="0000502C"/>
    <w:rsid w:val="00010CFF"/>
    <w:rsid w:val="000130A6"/>
    <w:rsid w:val="00016F33"/>
    <w:rsid w:val="000269AE"/>
    <w:rsid w:val="00027D35"/>
    <w:rsid w:val="00030CFE"/>
    <w:rsid w:val="00030F8D"/>
    <w:rsid w:val="00036A81"/>
    <w:rsid w:val="00036FB0"/>
    <w:rsid w:val="00037358"/>
    <w:rsid w:val="00041430"/>
    <w:rsid w:val="0005624E"/>
    <w:rsid w:val="00056F23"/>
    <w:rsid w:val="00071E13"/>
    <w:rsid w:val="00076757"/>
    <w:rsid w:val="00081BB0"/>
    <w:rsid w:val="00086294"/>
    <w:rsid w:val="00090274"/>
    <w:rsid w:val="0009287C"/>
    <w:rsid w:val="00092D69"/>
    <w:rsid w:val="000A155E"/>
    <w:rsid w:val="000A5E72"/>
    <w:rsid w:val="000A604E"/>
    <w:rsid w:val="000A7AFE"/>
    <w:rsid w:val="000B466E"/>
    <w:rsid w:val="000B7177"/>
    <w:rsid w:val="000C0189"/>
    <w:rsid w:val="000C0DA6"/>
    <w:rsid w:val="000C5315"/>
    <w:rsid w:val="000D6268"/>
    <w:rsid w:val="000D69B3"/>
    <w:rsid w:val="000E07E7"/>
    <w:rsid w:val="000F2869"/>
    <w:rsid w:val="000F4F59"/>
    <w:rsid w:val="000F643D"/>
    <w:rsid w:val="001053B7"/>
    <w:rsid w:val="00115870"/>
    <w:rsid w:val="00116472"/>
    <w:rsid w:val="001207CA"/>
    <w:rsid w:val="00120953"/>
    <w:rsid w:val="00141BAC"/>
    <w:rsid w:val="00141BF5"/>
    <w:rsid w:val="0015070A"/>
    <w:rsid w:val="00151EFA"/>
    <w:rsid w:val="00167E58"/>
    <w:rsid w:val="00193838"/>
    <w:rsid w:val="001A31F5"/>
    <w:rsid w:val="001A50E3"/>
    <w:rsid w:val="001A5654"/>
    <w:rsid w:val="001A6A86"/>
    <w:rsid w:val="001C3DD5"/>
    <w:rsid w:val="001C6713"/>
    <w:rsid w:val="001D7C81"/>
    <w:rsid w:val="001E429D"/>
    <w:rsid w:val="001F0F82"/>
    <w:rsid w:val="001F2854"/>
    <w:rsid w:val="001F32AB"/>
    <w:rsid w:val="001F5880"/>
    <w:rsid w:val="001F5C9D"/>
    <w:rsid w:val="001F79A7"/>
    <w:rsid w:val="001F7F0E"/>
    <w:rsid w:val="00204903"/>
    <w:rsid w:val="002130D8"/>
    <w:rsid w:val="00213292"/>
    <w:rsid w:val="00216938"/>
    <w:rsid w:val="002200AD"/>
    <w:rsid w:val="002314F8"/>
    <w:rsid w:val="00235130"/>
    <w:rsid w:val="002415C1"/>
    <w:rsid w:val="00243384"/>
    <w:rsid w:val="002444F2"/>
    <w:rsid w:val="002469E8"/>
    <w:rsid w:val="00263120"/>
    <w:rsid w:val="00274B24"/>
    <w:rsid w:val="00277EE7"/>
    <w:rsid w:val="00283E8A"/>
    <w:rsid w:val="00286003"/>
    <w:rsid w:val="002866EF"/>
    <w:rsid w:val="00292230"/>
    <w:rsid w:val="0029528C"/>
    <w:rsid w:val="002A0ED0"/>
    <w:rsid w:val="002A5752"/>
    <w:rsid w:val="002B12EB"/>
    <w:rsid w:val="002B4466"/>
    <w:rsid w:val="002B7627"/>
    <w:rsid w:val="002C0E86"/>
    <w:rsid w:val="002C3F9D"/>
    <w:rsid w:val="002D518D"/>
    <w:rsid w:val="002E1B56"/>
    <w:rsid w:val="002E2988"/>
    <w:rsid w:val="002E3C2D"/>
    <w:rsid w:val="002E7CC0"/>
    <w:rsid w:val="002F12EF"/>
    <w:rsid w:val="002F7AE7"/>
    <w:rsid w:val="00305838"/>
    <w:rsid w:val="00314854"/>
    <w:rsid w:val="0031563A"/>
    <w:rsid w:val="00315850"/>
    <w:rsid w:val="00316941"/>
    <w:rsid w:val="00322746"/>
    <w:rsid w:val="0033334F"/>
    <w:rsid w:val="00337395"/>
    <w:rsid w:val="00342FCF"/>
    <w:rsid w:val="00351779"/>
    <w:rsid w:val="003610EA"/>
    <w:rsid w:val="00362C9F"/>
    <w:rsid w:val="00362F1A"/>
    <w:rsid w:val="00380C65"/>
    <w:rsid w:val="00381295"/>
    <w:rsid w:val="00383607"/>
    <w:rsid w:val="00383F6A"/>
    <w:rsid w:val="00385A9E"/>
    <w:rsid w:val="003916D5"/>
    <w:rsid w:val="00397518"/>
    <w:rsid w:val="003A16BC"/>
    <w:rsid w:val="003A2BC3"/>
    <w:rsid w:val="003A7EEF"/>
    <w:rsid w:val="003B38C5"/>
    <w:rsid w:val="003B4B78"/>
    <w:rsid w:val="003C2C48"/>
    <w:rsid w:val="003C2E3E"/>
    <w:rsid w:val="003C5E06"/>
    <w:rsid w:val="003E11D7"/>
    <w:rsid w:val="003E3FA6"/>
    <w:rsid w:val="003F62AE"/>
    <w:rsid w:val="00416C4E"/>
    <w:rsid w:val="00424665"/>
    <w:rsid w:val="00424D26"/>
    <w:rsid w:val="00426CC7"/>
    <w:rsid w:val="00432D3E"/>
    <w:rsid w:val="004334D4"/>
    <w:rsid w:val="00436120"/>
    <w:rsid w:val="00452AA2"/>
    <w:rsid w:val="00456E60"/>
    <w:rsid w:val="00461631"/>
    <w:rsid w:val="00462BF6"/>
    <w:rsid w:val="00463997"/>
    <w:rsid w:val="00474524"/>
    <w:rsid w:val="00474A34"/>
    <w:rsid w:val="00481CA2"/>
    <w:rsid w:val="00491DF2"/>
    <w:rsid w:val="004B3613"/>
    <w:rsid w:val="004B4B05"/>
    <w:rsid w:val="004B6DED"/>
    <w:rsid w:val="004C143D"/>
    <w:rsid w:val="004C1EB2"/>
    <w:rsid w:val="004C3486"/>
    <w:rsid w:val="004C4827"/>
    <w:rsid w:val="004C5D8F"/>
    <w:rsid w:val="004C6345"/>
    <w:rsid w:val="004D1C93"/>
    <w:rsid w:val="004E161B"/>
    <w:rsid w:val="004E6EDE"/>
    <w:rsid w:val="004F1029"/>
    <w:rsid w:val="004F2FCC"/>
    <w:rsid w:val="004F72FF"/>
    <w:rsid w:val="005005CA"/>
    <w:rsid w:val="00502433"/>
    <w:rsid w:val="005055D6"/>
    <w:rsid w:val="00506AE3"/>
    <w:rsid w:val="00506E54"/>
    <w:rsid w:val="00513DAB"/>
    <w:rsid w:val="00521F40"/>
    <w:rsid w:val="00531B46"/>
    <w:rsid w:val="00532F60"/>
    <w:rsid w:val="00535D17"/>
    <w:rsid w:val="005360FF"/>
    <w:rsid w:val="00537037"/>
    <w:rsid w:val="005423C4"/>
    <w:rsid w:val="005436D8"/>
    <w:rsid w:val="005466A8"/>
    <w:rsid w:val="005509AE"/>
    <w:rsid w:val="00550DBF"/>
    <w:rsid w:val="00551369"/>
    <w:rsid w:val="00552D9D"/>
    <w:rsid w:val="00560B4C"/>
    <w:rsid w:val="00563303"/>
    <w:rsid w:val="0056424A"/>
    <w:rsid w:val="00576464"/>
    <w:rsid w:val="00587AE5"/>
    <w:rsid w:val="00594336"/>
    <w:rsid w:val="005A0121"/>
    <w:rsid w:val="005A59F5"/>
    <w:rsid w:val="005C3221"/>
    <w:rsid w:val="005C4215"/>
    <w:rsid w:val="005D734C"/>
    <w:rsid w:val="005E11B4"/>
    <w:rsid w:val="005E46F9"/>
    <w:rsid w:val="005F5318"/>
    <w:rsid w:val="0060067E"/>
    <w:rsid w:val="00604620"/>
    <w:rsid w:val="006215EC"/>
    <w:rsid w:val="006301E1"/>
    <w:rsid w:val="00645CC8"/>
    <w:rsid w:val="006466F4"/>
    <w:rsid w:val="0065022D"/>
    <w:rsid w:val="006548E1"/>
    <w:rsid w:val="00657DE3"/>
    <w:rsid w:val="00665B19"/>
    <w:rsid w:val="00672E3B"/>
    <w:rsid w:val="00681337"/>
    <w:rsid w:val="00681FFE"/>
    <w:rsid w:val="00682514"/>
    <w:rsid w:val="00685E80"/>
    <w:rsid w:val="00691311"/>
    <w:rsid w:val="00695EA9"/>
    <w:rsid w:val="006A006C"/>
    <w:rsid w:val="006A4296"/>
    <w:rsid w:val="006A4D0A"/>
    <w:rsid w:val="006B0559"/>
    <w:rsid w:val="006B7909"/>
    <w:rsid w:val="006C044C"/>
    <w:rsid w:val="006C07AD"/>
    <w:rsid w:val="006D0E47"/>
    <w:rsid w:val="006D29E0"/>
    <w:rsid w:val="006D7559"/>
    <w:rsid w:val="006E4EB0"/>
    <w:rsid w:val="006E6CB5"/>
    <w:rsid w:val="006E7286"/>
    <w:rsid w:val="006F7E66"/>
    <w:rsid w:val="007057E6"/>
    <w:rsid w:val="00720D1B"/>
    <w:rsid w:val="007223A8"/>
    <w:rsid w:val="00724288"/>
    <w:rsid w:val="007247D4"/>
    <w:rsid w:val="007271D3"/>
    <w:rsid w:val="007315A8"/>
    <w:rsid w:val="00746C4A"/>
    <w:rsid w:val="00760269"/>
    <w:rsid w:val="0076480A"/>
    <w:rsid w:val="007744F4"/>
    <w:rsid w:val="007759CC"/>
    <w:rsid w:val="00784C13"/>
    <w:rsid w:val="007A6517"/>
    <w:rsid w:val="007B6AA0"/>
    <w:rsid w:val="007C3702"/>
    <w:rsid w:val="007D402C"/>
    <w:rsid w:val="007D519B"/>
    <w:rsid w:val="007E2A5D"/>
    <w:rsid w:val="007E5CB5"/>
    <w:rsid w:val="008234E3"/>
    <w:rsid w:val="00825813"/>
    <w:rsid w:val="008260F5"/>
    <w:rsid w:val="00826A3C"/>
    <w:rsid w:val="00830FC9"/>
    <w:rsid w:val="008335B0"/>
    <w:rsid w:val="00834926"/>
    <w:rsid w:val="00837D1E"/>
    <w:rsid w:val="00843E7A"/>
    <w:rsid w:val="00844198"/>
    <w:rsid w:val="00870B39"/>
    <w:rsid w:val="008756D2"/>
    <w:rsid w:val="008871E5"/>
    <w:rsid w:val="00890090"/>
    <w:rsid w:val="00893CDA"/>
    <w:rsid w:val="008960AA"/>
    <w:rsid w:val="008B0F21"/>
    <w:rsid w:val="008B5A8E"/>
    <w:rsid w:val="008D6DC0"/>
    <w:rsid w:val="008E0438"/>
    <w:rsid w:val="008E23CA"/>
    <w:rsid w:val="008F0171"/>
    <w:rsid w:val="008F100A"/>
    <w:rsid w:val="00902587"/>
    <w:rsid w:val="00905666"/>
    <w:rsid w:val="00910841"/>
    <w:rsid w:val="0091753E"/>
    <w:rsid w:val="00921761"/>
    <w:rsid w:val="00922BDE"/>
    <w:rsid w:val="00924449"/>
    <w:rsid w:val="00926950"/>
    <w:rsid w:val="00932802"/>
    <w:rsid w:val="009506DE"/>
    <w:rsid w:val="00951C08"/>
    <w:rsid w:val="0095497C"/>
    <w:rsid w:val="00955A29"/>
    <w:rsid w:val="009611E0"/>
    <w:rsid w:val="00964B71"/>
    <w:rsid w:val="009674B8"/>
    <w:rsid w:val="0098219F"/>
    <w:rsid w:val="0098364B"/>
    <w:rsid w:val="009860D6"/>
    <w:rsid w:val="00986C5D"/>
    <w:rsid w:val="009A5628"/>
    <w:rsid w:val="009B3CBD"/>
    <w:rsid w:val="009B4FFE"/>
    <w:rsid w:val="009B6D62"/>
    <w:rsid w:val="009B714E"/>
    <w:rsid w:val="009B7604"/>
    <w:rsid w:val="009C4565"/>
    <w:rsid w:val="009C49B8"/>
    <w:rsid w:val="009C7539"/>
    <w:rsid w:val="009D21D3"/>
    <w:rsid w:val="009D4C1C"/>
    <w:rsid w:val="009E244A"/>
    <w:rsid w:val="009E32F8"/>
    <w:rsid w:val="009F2CEC"/>
    <w:rsid w:val="009F5007"/>
    <w:rsid w:val="00A01208"/>
    <w:rsid w:val="00A02032"/>
    <w:rsid w:val="00A036AF"/>
    <w:rsid w:val="00A12A83"/>
    <w:rsid w:val="00A210B4"/>
    <w:rsid w:val="00A21E7F"/>
    <w:rsid w:val="00A31003"/>
    <w:rsid w:val="00A31CB4"/>
    <w:rsid w:val="00A32704"/>
    <w:rsid w:val="00A33703"/>
    <w:rsid w:val="00A37A6B"/>
    <w:rsid w:val="00A463E8"/>
    <w:rsid w:val="00A50D58"/>
    <w:rsid w:val="00A51953"/>
    <w:rsid w:val="00A52E5C"/>
    <w:rsid w:val="00A65054"/>
    <w:rsid w:val="00A6597A"/>
    <w:rsid w:val="00A71A20"/>
    <w:rsid w:val="00A72492"/>
    <w:rsid w:val="00A77597"/>
    <w:rsid w:val="00A858C3"/>
    <w:rsid w:val="00A86360"/>
    <w:rsid w:val="00AA7F4B"/>
    <w:rsid w:val="00AB2042"/>
    <w:rsid w:val="00AB2C64"/>
    <w:rsid w:val="00AB32A2"/>
    <w:rsid w:val="00AB413B"/>
    <w:rsid w:val="00AB69EC"/>
    <w:rsid w:val="00AB77BA"/>
    <w:rsid w:val="00AC20B1"/>
    <w:rsid w:val="00AD456F"/>
    <w:rsid w:val="00AD5CE8"/>
    <w:rsid w:val="00AE014A"/>
    <w:rsid w:val="00AE4E78"/>
    <w:rsid w:val="00AE67CC"/>
    <w:rsid w:val="00AE6BE2"/>
    <w:rsid w:val="00AF09BA"/>
    <w:rsid w:val="00AF160F"/>
    <w:rsid w:val="00AF792D"/>
    <w:rsid w:val="00AF79E1"/>
    <w:rsid w:val="00B0051B"/>
    <w:rsid w:val="00B008E1"/>
    <w:rsid w:val="00B07D35"/>
    <w:rsid w:val="00B27491"/>
    <w:rsid w:val="00B30335"/>
    <w:rsid w:val="00B36505"/>
    <w:rsid w:val="00B53A75"/>
    <w:rsid w:val="00B54302"/>
    <w:rsid w:val="00B632D1"/>
    <w:rsid w:val="00B6643F"/>
    <w:rsid w:val="00B96518"/>
    <w:rsid w:val="00BA53A1"/>
    <w:rsid w:val="00BB0653"/>
    <w:rsid w:val="00BB2B57"/>
    <w:rsid w:val="00BB3AE7"/>
    <w:rsid w:val="00BC043B"/>
    <w:rsid w:val="00BC094F"/>
    <w:rsid w:val="00BC0CA0"/>
    <w:rsid w:val="00BC4B9D"/>
    <w:rsid w:val="00BC59A9"/>
    <w:rsid w:val="00BC5EAA"/>
    <w:rsid w:val="00BE08BD"/>
    <w:rsid w:val="00BE0B3F"/>
    <w:rsid w:val="00BE6A62"/>
    <w:rsid w:val="00BF13DD"/>
    <w:rsid w:val="00BF453E"/>
    <w:rsid w:val="00BF4D71"/>
    <w:rsid w:val="00C14FD5"/>
    <w:rsid w:val="00C21096"/>
    <w:rsid w:val="00C21D65"/>
    <w:rsid w:val="00C2410D"/>
    <w:rsid w:val="00C2435A"/>
    <w:rsid w:val="00C244F3"/>
    <w:rsid w:val="00C377C9"/>
    <w:rsid w:val="00C40D7C"/>
    <w:rsid w:val="00C44840"/>
    <w:rsid w:val="00C466D0"/>
    <w:rsid w:val="00C57543"/>
    <w:rsid w:val="00C7221C"/>
    <w:rsid w:val="00C923E4"/>
    <w:rsid w:val="00C941EE"/>
    <w:rsid w:val="00C97D64"/>
    <w:rsid w:val="00CA5286"/>
    <w:rsid w:val="00CA63F4"/>
    <w:rsid w:val="00CA6D8C"/>
    <w:rsid w:val="00CA774C"/>
    <w:rsid w:val="00CB0EA1"/>
    <w:rsid w:val="00CB5FFD"/>
    <w:rsid w:val="00CC77B4"/>
    <w:rsid w:val="00CE457C"/>
    <w:rsid w:val="00CF0DF5"/>
    <w:rsid w:val="00CF5996"/>
    <w:rsid w:val="00D034A4"/>
    <w:rsid w:val="00D0675B"/>
    <w:rsid w:val="00D11247"/>
    <w:rsid w:val="00D2216F"/>
    <w:rsid w:val="00D221E3"/>
    <w:rsid w:val="00D47108"/>
    <w:rsid w:val="00D63473"/>
    <w:rsid w:val="00D715F3"/>
    <w:rsid w:val="00D73B0E"/>
    <w:rsid w:val="00D772DE"/>
    <w:rsid w:val="00D80C8F"/>
    <w:rsid w:val="00D86972"/>
    <w:rsid w:val="00D94752"/>
    <w:rsid w:val="00D962CB"/>
    <w:rsid w:val="00D96A89"/>
    <w:rsid w:val="00DA1140"/>
    <w:rsid w:val="00DA7761"/>
    <w:rsid w:val="00DB0C20"/>
    <w:rsid w:val="00DB3BBE"/>
    <w:rsid w:val="00DC0482"/>
    <w:rsid w:val="00DD1D82"/>
    <w:rsid w:val="00DD2ECB"/>
    <w:rsid w:val="00DD5394"/>
    <w:rsid w:val="00DE04CF"/>
    <w:rsid w:val="00DE05B3"/>
    <w:rsid w:val="00DE58C7"/>
    <w:rsid w:val="00DF27C6"/>
    <w:rsid w:val="00DF4B77"/>
    <w:rsid w:val="00DF4BC6"/>
    <w:rsid w:val="00DF7081"/>
    <w:rsid w:val="00E04ABD"/>
    <w:rsid w:val="00E07051"/>
    <w:rsid w:val="00E124BC"/>
    <w:rsid w:val="00E13A51"/>
    <w:rsid w:val="00E1413D"/>
    <w:rsid w:val="00E16BFF"/>
    <w:rsid w:val="00E27A4F"/>
    <w:rsid w:val="00E31F06"/>
    <w:rsid w:val="00E3371D"/>
    <w:rsid w:val="00E4215A"/>
    <w:rsid w:val="00E668AE"/>
    <w:rsid w:val="00E71F1A"/>
    <w:rsid w:val="00E73FED"/>
    <w:rsid w:val="00E762B7"/>
    <w:rsid w:val="00E7716C"/>
    <w:rsid w:val="00E81030"/>
    <w:rsid w:val="00E848A7"/>
    <w:rsid w:val="00E92D25"/>
    <w:rsid w:val="00E965ED"/>
    <w:rsid w:val="00EA06F8"/>
    <w:rsid w:val="00EA3FB7"/>
    <w:rsid w:val="00EA5D86"/>
    <w:rsid w:val="00EA6171"/>
    <w:rsid w:val="00EA6C92"/>
    <w:rsid w:val="00EC1B44"/>
    <w:rsid w:val="00ED6A2A"/>
    <w:rsid w:val="00EE645D"/>
    <w:rsid w:val="00F027B1"/>
    <w:rsid w:val="00F071D9"/>
    <w:rsid w:val="00F10ED5"/>
    <w:rsid w:val="00F17379"/>
    <w:rsid w:val="00F25938"/>
    <w:rsid w:val="00F31252"/>
    <w:rsid w:val="00F33625"/>
    <w:rsid w:val="00F3680D"/>
    <w:rsid w:val="00F43037"/>
    <w:rsid w:val="00F437E2"/>
    <w:rsid w:val="00F6066B"/>
    <w:rsid w:val="00F773BA"/>
    <w:rsid w:val="00F775C1"/>
    <w:rsid w:val="00F83BF2"/>
    <w:rsid w:val="00F92197"/>
    <w:rsid w:val="00F9592C"/>
    <w:rsid w:val="00FA0B9F"/>
    <w:rsid w:val="00FA4FDD"/>
    <w:rsid w:val="00FB3C93"/>
    <w:rsid w:val="00FC01A6"/>
    <w:rsid w:val="00FD39CA"/>
    <w:rsid w:val="00FD420B"/>
    <w:rsid w:val="00FE41C3"/>
    <w:rsid w:val="00FE67FD"/>
    <w:rsid w:val="00FE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6C698"/>
  <w15:docId w15:val="{C844AC9F-85CA-43AF-980F-5984F403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055D6"/>
    <w:pPr>
      <w:keepNext/>
      <w:outlineLvl w:val="1"/>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620"/>
    <w:pPr>
      <w:ind w:left="720"/>
      <w:contextualSpacing/>
    </w:pPr>
  </w:style>
  <w:style w:type="paragraph" w:styleId="Header">
    <w:name w:val="header"/>
    <w:basedOn w:val="Normal"/>
    <w:link w:val="HeaderChar"/>
    <w:uiPriority w:val="99"/>
    <w:unhideWhenUsed/>
    <w:rsid w:val="00724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7D4"/>
  </w:style>
  <w:style w:type="paragraph" w:styleId="Footer">
    <w:name w:val="footer"/>
    <w:basedOn w:val="Normal"/>
    <w:link w:val="FooterChar"/>
    <w:uiPriority w:val="99"/>
    <w:unhideWhenUsed/>
    <w:rsid w:val="00724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7D4"/>
  </w:style>
  <w:style w:type="paragraph" w:styleId="BalloonText">
    <w:name w:val="Balloon Text"/>
    <w:basedOn w:val="Normal"/>
    <w:link w:val="BalloonTextChar"/>
    <w:uiPriority w:val="99"/>
    <w:semiHidden/>
    <w:unhideWhenUsed/>
    <w:rsid w:val="00CA7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74C"/>
    <w:rPr>
      <w:rFonts w:ascii="Tahoma" w:hAnsi="Tahoma" w:cs="Tahoma"/>
      <w:sz w:val="16"/>
      <w:szCs w:val="16"/>
    </w:rPr>
  </w:style>
  <w:style w:type="paragraph" w:styleId="BodyText">
    <w:name w:val="Body Text"/>
    <w:basedOn w:val="Normal"/>
    <w:link w:val="BodyTextChar"/>
    <w:uiPriority w:val="1"/>
    <w:unhideWhenUsed/>
    <w:qFormat/>
    <w:rsid w:val="00BE08BD"/>
    <w:pPr>
      <w:widowControl w:val="0"/>
      <w:spacing w:after="0" w:line="240" w:lineRule="auto"/>
      <w:ind w:left="119"/>
    </w:pPr>
    <w:rPr>
      <w:rFonts w:ascii="Times New Roman" w:eastAsia="Times New Roman" w:hAnsi="Times New Roman"/>
    </w:rPr>
  </w:style>
  <w:style w:type="character" w:customStyle="1" w:styleId="BodyTextChar">
    <w:name w:val="Body Text Char"/>
    <w:basedOn w:val="DefaultParagraphFont"/>
    <w:link w:val="BodyText"/>
    <w:uiPriority w:val="1"/>
    <w:rsid w:val="00BE08BD"/>
    <w:rPr>
      <w:rFonts w:ascii="Times New Roman" w:eastAsia="Times New Roman" w:hAnsi="Times New Roman"/>
    </w:rPr>
  </w:style>
  <w:style w:type="character" w:styleId="Hyperlink">
    <w:name w:val="Hyperlink"/>
    <w:basedOn w:val="DefaultParagraphFont"/>
    <w:uiPriority w:val="99"/>
    <w:unhideWhenUsed/>
    <w:rsid w:val="00843E7A"/>
    <w:rPr>
      <w:color w:val="0563C1" w:themeColor="hyperlink"/>
      <w:u w:val="single"/>
    </w:rPr>
  </w:style>
  <w:style w:type="character" w:styleId="CommentReference">
    <w:name w:val="annotation reference"/>
    <w:basedOn w:val="DefaultParagraphFont"/>
    <w:uiPriority w:val="99"/>
    <w:semiHidden/>
    <w:unhideWhenUsed/>
    <w:rsid w:val="00A12A83"/>
    <w:rPr>
      <w:sz w:val="16"/>
      <w:szCs w:val="16"/>
    </w:rPr>
  </w:style>
  <w:style w:type="paragraph" w:styleId="CommentText">
    <w:name w:val="annotation text"/>
    <w:basedOn w:val="Normal"/>
    <w:link w:val="CommentTextChar"/>
    <w:uiPriority w:val="99"/>
    <w:semiHidden/>
    <w:unhideWhenUsed/>
    <w:rsid w:val="00A12A83"/>
    <w:pPr>
      <w:spacing w:line="240" w:lineRule="auto"/>
    </w:pPr>
    <w:rPr>
      <w:sz w:val="20"/>
      <w:szCs w:val="20"/>
    </w:rPr>
  </w:style>
  <w:style w:type="character" w:customStyle="1" w:styleId="CommentTextChar">
    <w:name w:val="Comment Text Char"/>
    <w:basedOn w:val="DefaultParagraphFont"/>
    <w:link w:val="CommentText"/>
    <w:uiPriority w:val="99"/>
    <w:semiHidden/>
    <w:rsid w:val="00A12A83"/>
    <w:rPr>
      <w:sz w:val="20"/>
      <w:szCs w:val="20"/>
    </w:rPr>
  </w:style>
  <w:style w:type="paragraph" w:styleId="CommentSubject">
    <w:name w:val="annotation subject"/>
    <w:basedOn w:val="CommentText"/>
    <w:next w:val="CommentText"/>
    <w:link w:val="CommentSubjectChar"/>
    <w:uiPriority w:val="99"/>
    <w:semiHidden/>
    <w:unhideWhenUsed/>
    <w:rsid w:val="00A12A83"/>
    <w:rPr>
      <w:b/>
      <w:bCs/>
    </w:rPr>
  </w:style>
  <w:style w:type="character" w:customStyle="1" w:styleId="CommentSubjectChar">
    <w:name w:val="Comment Subject Char"/>
    <w:basedOn w:val="CommentTextChar"/>
    <w:link w:val="CommentSubject"/>
    <w:uiPriority w:val="99"/>
    <w:semiHidden/>
    <w:rsid w:val="00A12A83"/>
    <w:rPr>
      <w:b/>
      <w:bCs/>
      <w:sz w:val="20"/>
      <w:szCs w:val="20"/>
    </w:rPr>
  </w:style>
  <w:style w:type="paragraph" w:styleId="Revision">
    <w:name w:val="Revision"/>
    <w:hidden/>
    <w:uiPriority w:val="99"/>
    <w:semiHidden/>
    <w:rsid w:val="00F33625"/>
    <w:pPr>
      <w:spacing w:after="0" w:line="240" w:lineRule="auto"/>
    </w:pPr>
  </w:style>
  <w:style w:type="character" w:styleId="Strong">
    <w:name w:val="Strong"/>
    <w:basedOn w:val="DefaultParagraphFont"/>
    <w:uiPriority w:val="22"/>
    <w:qFormat/>
    <w:rsid w:val="00141BAC"/>
    <w:rPr>
      <w:b/>
      <w:bCs/>
    </w:rPr>
  </w:style>
  <w:style w:type="character" w:customStyle="1" w:styleId="Heading2Char">
    <w:name w:val="Heading 2 Char"/>
    <w:basedOn w:val="DefaultParagraphFont"/>
    <w:link w:val="Heading2"/>
    <w:uiPriority w:val="9"/>
    <w:rsid w:val="005055D6"/>
    <w:rPr>
      <w:rFonts w:ascii="Times New Roman" w:hAnsi="Times New Roman" w:cs="Times New Roman"/>
      <w:b/>
    </w:rPr>
  </w:style>
  <w:style w:type="table" w:styleId="TableGrid">
    <w:name w:val="Table Grid"/>
    <w:basedOn w:val="TableNormal"/>
    <w:uiPriority w:val="39"/>
    <w:rsid w:val="0002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4ABD"/>
    <w:rPr>
      <w:color w:val="808080"/>
    </w:rPr>
  </w:style>
  <w:style w:type="paragraph" w:styleId="FootnoteText">
    <w:name w:val="footnote text"/>
    <w:basedOn w:val="Normal"/>
    <w:link w:val="FootnoteTextChar"/>
    <w:uiPriority w:val="99"/>
    <w:semiHidden/>
    <w:unhideWhenUsed/>
    <w:rsid w:val="00E04ABD"/>
    <w:pPr>
      <w:spacing w:after="0" w:line="240" w:lineRule="auto"/>
    </w:pPr>
    <w:rPr>
      <w:rFonts w:ascii="Times New Roman" w:eastAsia="Times New Roman" w:hAnsi="Times New Roman" w:cs="Angsana New"/>
      <w:sz w:val="20"/>
      <w:szCs w:val="25"/>
      <w:lang w:bidi="th-TH"/>
    </w:rPr>
  </w:style>
  <w:style w:type="character" w:customStyle="1" w:styleId="FootnoteTextChar">
    <w:name w:val="Footnote Text Char"/>
    <w:basedOn w:val="DefaultParagraphFont"/>
    <w:link w:val="FootnoteText"/>
    <w:uiPriority w:val="99"/>
    <w:semiHidden/>
    <w:rsid w:val="00E04ABD"/>
    <w:rPr>
      <w:rFonts w:ascii="Times New Roman" w:eastAsia="Times New Roman" w:hAnsi="Times New Roman" w:cs="Angsana New"/>
      <w:sz w:val="20"/>
      <w:szCs w:val="25"/>
      <w:lang w:bidi="th-TH"/>
    </w:rPr>
  </w:style>
  <w:style w:type="character" w:styleId="FootnoteReference">
    <w:name w:val="footnote reference"/>
    <w:basedOn w:val="DefaultParagraphFont"/>
    <w:uiPriority w:val="99"/>
    <w:semiHidden/>
    <w:unhideWhenUsed/>
    <w:rsid w:val="00E04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96293">
      <w:bodyDiv w:val="1"/>
      <w:marLeft w:val="0"/>
      <w:marRight w:val="0"/>
      <w:marTop w:val="0"/>
      <w:marBottom w:val="0"/>
      <w:divBdr>
        <w:top w:val="none" w:sz="0" w:space="0" w:color="auto"/>
        <w:left w:val="none" w:sz="0" w:space="0" w:color="auto"/>
        <w:bottom w:val="none" w:sz="0" w:space="0" w:color="auto"/>
        <w:right w:val="none" w:sz="0" w:space="0" w:color="auto"/>
      </w:divBdr>
      <w:divsChild>
        <w:div w:id="303854777">
          <w:marLeft w:val="1166"/>
          <w:marRight w:val="0"/>
          <w:marTop w:val="115"/>
          <w:marBottom w:val="0"/>
          <w:divBdr>
            <w:top w:val="none" w:sz="0" w:space="0" w:color="auto"/>
            <w:left w:val="none" w:sz="0" w:space="0" w:color="auto"/>
            <w:bottom w:val="none" w:sz="0" w:space="0" w:color="auto"/>
            <w:right w:val="none" w:sz="0" w:space="0" w:color="auto"/>
          </w:divBdr>
        </w:div>
      </w:divsChild>
    </w:div>
    <w:div w:id="301426787">
      <w:bodyDiv w:val="1"/>
      <w:marLeft w:val="0"/>
      <w:marRight w:val="0"/>
      <w:marTop w:val="0"/>
      <w:marBottom w:val="0"/>
      <w:divBdr>
        <w:top w:val="none" w:sz="0" w:space="0" w:color="auto"/>
        <w:left w:val="none" w:sz="0" w:space="0" w:color="auto"/>
        <w:bottom w:val="none" w:sz="0" w:space="0" w:color="auto"/>
        <w:right w:val="none" w:sz="0" w:space="0" w:color="auto"/>
      </w:divBdr>
      <w:divsChild>
        <w:div w:id="604658775">
          <w:marLeft w:val="1166"/>
          <w:marRight w:val="0"/>
          <w:marTop w:val="115"/>
          <w:marBottom w:val="0"/>
          <w:divBdr>
            <w:top w:val="none" w:sz="0" w:space="0" w:color="auto"/>
            <w:left w:val="none" w:sz="0" w:space="0" w:color="auto"/>
            <w:bottom w:val="none" w:sz="0" w:space="0" w:color="auto"/>
            <w:right w:val="none" w:sz="0" w:space="0" w:color="auto"/>
          </w:divBdr>
        </w:div>
      </w:divsChild>
    </w:div>
    <w:div w:id="1636370919">
      <w:bodyDiv w:val="1"/>
      <w:marLeft w:val="0"/>
      <w:marRight w:val="0"/>
      <w:marTop w:val="0"/>
      <w:marBottom w:val="0"/>
      <w:divBdr>
        <w:top w:val="none" w:sz="0" w:space="0" w:color="auto"/>
        <w:left w:val="none" w:sz="0" w:space="0" w:color="auto"/>
        <w:bottom w:val="none" w:sz="0" w:space="0" w:color="auto"/>
        <w:right w:val="none" w:sz="0" w:space="0" w:color="auto"/>
      </w:divBdr>
    </w:div>
    <w:div w:id="1779596297">
      <w:bodyDiv w:val="1"/>
      <w:marLeft w:val="0"/>
      <w:marRight w:val="0"/>
      <w:marTop w:val="0"/>
      <w:marBottom w:val="0"/>
      <w:divBdr>
        <w:top w:val="none" w:sz="0" w:space="0" w:color="auto"/>
        <w:left w:val="none" w:sz="0" w:space="0" w:color="auto"/>
        <w:bottom w:val="none" w:sz="0" w:space="0" w:color="auto"/>
        <w:right w:val="none" w:sz="0" w:space="0" w:color="auto"/>
      </w:divBdr>
      <w:divsChild>
        <w:div w:id="114427538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gov/Outreach-and-Education/Medicare-Learning-Network-MLN/MLNProducts/downloads/SwingBedFactsheet.pdf" TargetMode="External"/><Relationship Id="rId13" Type="http://schemas.openxmlformats.org/officeDocument/2006/relationships/hyperlink" Target="https://www.cms.gov/Medicare/Quality-Initiatives-Patient-Assessment-Instruments/Post-Acute-Care-Quality-Initiatives/IMPACT-Act-of-2014/IMPACT-Act-of-2014-Data-Standardization-and-Cross-Setting-MeasuresMeasures.html" TargetMode="External"/><Relationship Id="rId18" Type="http://schemas.openxmlformats.org/officeDocument/2006/relationships/hyperlink" Target="https://www.cms.gov/Medicare/Quality-Initiatives-Patient-Assessment-Instruments/NursingHomeQualityInits/Downloads/Final-Specifications-for-SNF-QRP-Quality-Measures-and-Standardized-Resident-Assessment-Data-Elements-Effective-October-1-2018.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rhrc.umn.edu/publication/quality-measures-for-critical-access-hospital-swing-bed-patients/" TargetMode="External"/><Relationship Id="rId17" Type="http://schemas.openxmlformats.org/officeDocument/2006/relationships/hyperlink" Target="http://dx.doi.org/10.1016/j.jamda.2014.11.01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ms.gov/Medicare/Quality-Initiatives-Patient-Assessment-Instruments/NursingHomeQualityInits/NHQIMDS30.html"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ualityforum.org/Publications/2017/02/MAP_2017_Considerations_for_Implementing_Measures_in_Federal_Programs_-_PAC-LTC.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dsmr.org/WebModules/FIM/Fim_About.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oig.hhs.gov/oas/reports/region5/51200046.pdf"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flexmonitoring.org/data/critical-access-hospital-locations/" TargetMode="External"/><Relationship Id="rId14" Type="http://schemas.openxmlformats.org/officeDocument/2006/relationships/hyperlink" Target="https://www.cms.gov/Medicare/Quality-Initiatives-Patient-Assessment-Instruments/NursingHomeQualityInits/Downloads/Final-MDS-30-Data-Set-Version-1160-Effective-October-1-2018.pdf"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8995B-9364-47F4-893A-B716E978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10352</Words>
  <Characters>59013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69227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Casey</dc:creator>
  <cp:lastModifiedBy>Dianna Iobst</cp:lastModifiedBy>
  <cp:revision>2</cp:revision>
  <cp:lastPrinted>2019-11-08T18:49:00Z</cp:lastPrinted>
  <dcterms:created xsi:type="dcterms:W3CDTF">2020-02-10T13:12:00Z</dcterms:created>
  <dcterms:modified xsi:type="dcterms:W3CDTF">2020-02-10T13:12:00Z</dcterms:modified>
</cp:coreProperties>
</file>